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6559" w14:textId="4192F59E" w:rsidR="00C41BE6" w:rsidRDefault="003568A7">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Clinical Significance of APAC Score as a New Serological Marker </w:t>
      </w:r>
      <w:r w:rsidR="00366A0B">
        <w:rPr>
          <w:rFonts w:ascii="Times New Roman" w:eastAsia="Times New Roman" w:hAnsi="Times New Roman" w:cs="Times New Roman"/>
          <w:b/>
          <w:bCs/>
          <w:sz w:val="32"/>
          <w:szCs w:val="32"/>
        </w:rPr>
        <w:t>for Diagnosis</w:t>
      </w:r>
      <w:r>
        <w:rPr>
          <w:rFonts w:ascii="Times New Roman" w:eastAsia="Times New Roman" w:hAnsi="Times New Roman" w:cs="Times New Roman"/>
          <w:b/>
          <w:bCs/>
          <w:sz w:val="32"/>
          <w:szCs w:val="32"/>
        </w:rPr>
        <w:t xml:space="preserve"> of Hepatocellular Carcinoma in Egyptian Patients with Chronic Hepatitis C-Related Liver Cirrhosis .</w:t>
      </w:r>
    </w:p>
    <w:p w14:paraId="2143F208" w14:textId="77777777" w:rsidR="00C41BE6" w:rsidRDefault="003568A7">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5ACD9BE8" w14:textId="3569F963" w:rsidR="00751207" w:rsidRDefault="00751207" w:rsidP="00751207">
      <w:pPr>
        <w:pStyle w:val="paragraph"/>
        <w:spacing w:line="240" w:lineRule="auto"/>
        <w:ind w:firstLine="0"/>
        <w:rPr>
          <w:sz w:val="24"/>
          <w:szCs w:val="24"/>
        </w:rPr>
      </w:pPr>
      <w:r w:rsidRPr="00751207">
        <w:rPr>
          <w:b/>
          <w:bCs/>
          <w:sz w:val="24"/>
          <w:szCs w:val="24"/>
        </w:rPr>
        <w:t>Background:</w:t>
      </w:r>
      <w:r w:rsidRPr="00751207">
        <w:rPr>
          <w:sz w:val="24"/>
          <w:szCs w:val="24"/>
        </w:rPr>
        <w:t xml:space="preserve"> </w:t>
      </w:r>
      <w:r w:rsidR="00FD23A0" w:rsidRPr="00FD23A0">
        <w:rPr>
          <w:sz w:val="24"/>
          <w:szCs w:val="24"/>
        </w:rPr>
        <w:t>The most prevalent primary liver malignancy is hepatocellular carcinoma (HCC).    Soluble platelet-derived growth factor receptor-beta (</w:t>
      </w:r>
      <w:proofErr w:type="spellStart"/>
      <w:r w:rsidR="00FD23A0" w:rsidRPr="00FD23A0">
        <w:rPr>
          <w:sz w:val="24"/>
          <w:szCs w:val="24"/>
        </w:rPr>
        <w:t>sPDGFR</w:t>
      </w:r>
      <w:proofErr w:type="spellEnd"/>
      <w:r w:rsidR="00FD23A0" w:rsidRPr="00FD23A0">
        <w:rPr>
          <w:sz w:val="24"/>
          <w:szCs w:val="24"/>
        </w:rPr>
        <w:t>-β) is a critical factor in the identification of HCC, providing the maximum diagnostic value, when combined with age, creatinine, and alpha-fetoprotein (AFP) levels in the APAC Score.</w:t>
      </w:r>
      <w:r w:rsidR="00FD23A0">
        <w:rPr>
          <w:sz w:val="24"/>
          <w:szCs w:val="24"/>
        </w:rPr>
        <w:t xml:space="preserve"> </w:t>
      </w:r>
      <w:r w:rsidRPr="00D77AE1">
        <w:rPr>
          <w:b/>
          <w:bCs/>
          <w:sz w:val="24"/>
          <w:szCs w:val="24"/>
        </w:rPr>
        <w:t>Aim</w:t>
      </w:r>
      <w:r w:rsidR="003568A7" w:rsidRPr="00D77AE1">
        <w:rPr>
          <w:b/>
          <w:bCs/>
          <w:sz w:val="24"/>
          <w:szCs w:val="24"/>
        </w:rPr>
        <w:t xml:space="preserve"> of the work:</w:t>
      </w:r>
      <w:r w:rsidR="00FD23A0" w:rsidRPr="00FD23A0">
        <w:rPr>
          <w:sz w:val="24"/>
          <w:szCs w:val="24"/>
        </w:rPr>
        <w:t xml:space="preserve"> to evaluate the diagnostic utility of serum </w:t>
      </w:r>
      <w:proofErr w:type="spellStart"/>
      <w:r w:rsidR="00FD23A0" w:rsidRPr="00FD23A0">
        <w:rPr>
          <w:sz w:val="24"/>
          <w:szCs w:val="24"/>
        </w:rPr>
        <w:t>sPDGFR</w:t>
      </w:r>
      <w:proofErr w:type="spellEnd"/>
      <w:r w:rsidR="00FD23A0" w:rsidRPr="00FD23A0">
        <w:rPr>
          <w:sz w:val="24"/>
          <w:szCs w:val="24"/>
        </w:rPr>
        <w:t>-β levels and the significance of the APAC score in the early identification of HCC in Egyptian patients suffering from liver cirrhosis caused by the hepatitis C virus.</w:t>
      </w:r>
      <w:r w:rsidR="00FD23A0">
        <w:rPr>
          <w:sz w:val="24"/>
          <w:szCs w:val="24"/>
        </w:rPr>
        <w:t xml:space="preserve"> </w:t>
      </w:r>
      <w:r w:rsidR="003568A7" w:rsidRPr="00D77AE1">
        <w:rPr>
          <w:b/>
          <w:bCs/>
          <w:sz w:val="24"/>
          <w:szCs w:val="24"/>
        </w:rPr>
        <w:t>Patients and</w:t>
      </w:r>
      <w:r w:rsidR="003568A7" w:rsidRPr="00D77AE1">
        <w:rPr>
          <w:sz w:val="24"/>
          <w:szCs w:val="24"/>
        </w:rPr>
        <w:t xml:space="preserve"> </w:t>
      </w:r>
      <w:r w:rsidR="003568A7" w:rsidRPr="00D77AE1">
        <w:rPr>
          <w:b/>
          <w:bCs/>
          <w:sz w:val="24"/>
          <w:szCs w:val="24"/>
        </w:rPr>
        <w:t>Methods:</w:t>
      </w:r>
      <w:r w:rsidR="003568A7" w:rsidRPr="00D77AE1">
        <w:rPr>
          <w:sz w:val="24"/>
          <w:szCs w:val="24"/>
        </w:rPr>
        <w:t xml:space="preserve"> This cross-sectional study included 40 HCV cirrhotic patients without HCC and 40 HCV cirrhotic patients with  HCC.</w:t>
      </w:r>
      <w:r w:rsidR="00826CB7" w:rsidRPr="00D77AE1">
        <w:rPr>
          <w:b/>
          <w:bCs/>
          <w:sz w:val="24"/>
          <w:szCs w:val="24"/>
        </w:rPr>
        <w:t xml:space="preserve"> </w:t>
      </w:r>
      <w:r w:rsidR="004C5F70">
        <w:rPr>
          <w:sz w:val="24"/>
          <w:szCs w:val="24"/>
        </w:rPr>
        <w:t xml:space="preserve">Serum </w:t>
      </w:r>
      <w:r w:rsidR="006B04E5" w:rsidRPr="00D77AE1">
        <w:rPr>
          <w:sz w:val="24"/>
          <w:szCs w:val="24"/>
        </w:rPr>
        <w:t>PDGFR-</w:t>
      </w:r>
      <w:r w:rsidR="00366A0B" w:rsidRPr="00D77AE1">
        <w:rPr>
          <w:sz w:val="24"/>
          <w:szCs w:val="24"/>
        </w:rPr>
        <w:t>β (</w:t>
      </w:r>
      <w:r w:rsidR="00826CB7" w:rsidRPr="00D77AE1">
        <w:rPr>
          <w:sz w:val="24"/>
          <w:szCs w:val="24"/>
        </w:rPr>
        <w:t>pg/ ml )  by ELISA</w:t>
      </w:r>
      <w:r w:rsidR="00C20804" w:rsidRPr="00D77AE1">
        <w:rPr>
          <w:sz w:val="24"/>
          <w:szCs w:val="24"/>
        </w:rPr>
        <w:t xml:space="preserve"> was done for all patients</w:t>
      </w:r>
      <w:r w:rsidR="00826CB7" w:rsidRPr="00D77AE1">
        <w:rPr>
          <w:sz w:val="24"/>
          <w:szCs w:val="24"/>
        </w:rPr>
        <w:t>.</w:t>
      </w:r>
      <w:r w:rsidR="003568A7" w:rsidRPr="00D77AE1">
        <w:rPr>
          <w:b/>
          <w:bCs/>
          <w:sz w:val="24"/>
          <w:szCs w:val="24"/>
        </w:rPr>
        <w:t xml:space="preserve"> Results</w:t>
      </w:r>
      <w:r w:rsidR="00826CB7" w:rsidRPr="00D77AE1">
        <w:rPr>
          <w:b/>
          <w:bCs/>
          <w:sz w:val="24"/>
          <w:szCs w:val="24"/>
        </w:rPr>
        <w:t>:</w:t>
      </w:r>
      <w:r w:rsidR="00C20804" w:rsidRPr="00D77AE1">
        <w:rPr>
          <w:sz w:val="24"/>
          <w:szCs w:val="24"/>
        </w:rPr>
        <w:t xml:space="preserve"> </w:t>
      </w:r>
      <w:r w:rsidRPr="00751207">
        <w:rPr>
          <w:sz w:val="24"/>
          <w:szCs w:val="24"/>
        </w:rPr>
        <w:t>The cirrhosis without HCC group exhibited a significantly higher PDGFR-β level than the cirrhosis with HCC group (mean = 1186.4 ± 544.1 vs. 565.8 ± 297.7 pg/ml, p&lt;0.001). Conversely, the cirrhotic patients with HCC group exhibited a significantly higher APAC level than the cirrhotic without HCC group (mean= 6.32 ± 1.90 vs 1.67 ± 1.90, p&lt;0.001).  Independent predictors for HCC were identified as PDGFR-β in addition to liver cirrhosis.  Compared to PDGFR-β, APAC was identified as a more potent predictor of HCC susceptibility, resulting in a larger likelihood of developing HCC (P &lt;0.001).</w:t>
      </w:r>
      <w:r w:rsidRPr="00D77AE1">
        <w:rPr>
          <w:b/>
          <w:bCs/>
          <w:sz w:val="24"/>
          <w:szCs w:val="24"/>
        </w:rPr>
        <w:t xml:space="preserve"> Conclusions</w:t>
      </w:r>
      <w:r w:rsidR="003568A7" w:rsidRPr="00D77AE1">
        <w:rPr>
          <w:b/>
          <w:bCs/>
          <w:sz w:val="24"/>
          <w:szCs w:val="24"/>
        </w:rPr>
        <w:t>:</w:t>
      </w:r>
      <w:r w:rsidR="003568A7" w:rsidRPr="00D77AE1">
        <w:rPr>
          <w:sz w:val="24"/>
          <w:szCs w:val="24"/>
          <w:vertAlign w:val="superscript"/>
        </w:rPr>
        <w:t xml:space="preserve"> </w:t>
      </w:r>
      <w:r w:rsidRPr="00751207">
        <w:rPr>
          <w:sz w:val="24"/>
          <w:szCs w:val="24"/>
        </w:rPr>
        <w:t>In Egyptian patients, high AFP, APAC, and lower PDGFR-β were regarded as favorable indicators of HCC in addition to liver cirrhosis caused by chronic hepatitis C infection.  This implies that APAC is a more dependable indicator for the detection of HCC in cirrhotic patients.</w:t>
      </w:r>
    </w:p>
    <w:p w14:paraId="72311BFB" w14:textId="77777777" w:rsidR="00751207" w:rsidRDefault="003568A7" w:rsidP="00751207">
      <w:pPr>
        <w:pStyle w:val="paragraph"/>
        <w:spacing w:line="240" w:lineRule="auto"/>
        <w:ind w:firstLine="0"/>
        <w:rPr>
          <w:sz w:val="24"/>
          <w:szCs w:val="24"/>
        </w:rPr>
      </w:pPr>
      <w:r>
        <w:rPr>
          <w:b/>
          <w:bCs/>
          <w:sz w:val="24"/>
          <w:szCs w:val="24"/>
        </w:rPr>
        <w:t>Keywords:</w:t>
      </w:r>
      <w:r>
        <w:t xml:space="preserve"> </w:t>
      </w:r>
      <w:r w:rsidR="00751207" w:rsidRPr="00751207">
        <w:rPr>
          <w:sz w:val="24"/>
          <w:szCs w:val="24"/>
        </w:rPr>
        <w:t>PDGFR-β: platelet-derived growth factor receptor beta, HCC: hepatocellular carcinoma, Chronic Hepatitis C-Related LC—APAC Score.</w:t>
      </w:r>
    </w:p>
    <w:p w14:paraId="11C17F16" w14:textId="0B5FB861" w:rsidR="00C41BE6" w:rsidRDefault="003568A7" w:rsidP="00751207">
      <w:pPr>
        <w:pStyle w:val="paragraph"/>
        <w:spacing w:line="240" w:lineRule="auto"/>
        <w:ind w:firstLine="0"/>
        <w:rPr>
          <w:b/>
          <w:bCs/>
          <w:sz w:val="24"/>
          <w:szCs w:val="24"/>
          <w:u w:val="single"/>
        </w:rPr>
      </w:pPr>
      <w:r>
        <w:rPr>
          <w:b/>
          <w:bCs/>
          <w:sz w:val="24"/>
          <w:szCs w:val="24"/>
          <w:u w:val="single"/>
        </w:rPr>
        <w:t>Introduction</w:t>
      </w:r>
    </w:p>
    <w:p w14:paraId="473521A5" w14:textId="2799CF41" w:rsidR="00C41BE6" w:rsidRDefault="00FD23A0">
      <w:pPr>
        <w:pStyle w:val="P"/>
      </w:pPr>
      <w:r w:rsidRPr="00FD23A0">
        <w:t>Hepatocellular carcinoma (HCC), the most common kind of primary liver cancer, is usually discovered in patients with liver cirrhosis (LC)</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(1)</w:t>
      </w:r>
      <w:r w:rsidR="003568A7">
        <w:fldChar w:fldCharType="end"/>
      </w:r>
      <w:r w:rsidR="003568A7">
        <w:t xml:space="preserve">. </w:t>
      </w:r>
      <w:r w:rsidRPr="00FD23A0">
        <w:t xml:space="preserve">HCC is a </w:t>
      </w:r>
      <w:r w:rsidR="00F43CFF" w:rsidRPr="00FD23A0">
        <w:t>significant</w:t>
      </w:r>
      <w:r w:rsidRPr="00FD23A0">
        <w:t xml:space="preserve"> global health concern, as it is the sixth most prevalent malignancy worldwide and the third primary cause of cancer-related fatalities</w:t>
      </w:r>
      <w:r>
        <w:t xml:space="preserve"> </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(2)</w:t>
      </w:r>
      <w:r w:rsidR="003568A7">
        <w:fldChar w:fldCharType="end"/>
      </w:r>
      <w:r w:rsidR="003568A7">
        <w:t xml:space="preserve">, and it represents the 3rd common cancer in Egypt </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(3)</w:t>
      </w:r>
      <w:r w:rsidR="003568A7">
        <w:fldChar w:fldCharType="end"/>
      </w:r>
      <w:r w:rsidR="003568A7">
        <w:t>.</w:t>
      </w:r>
    </w:p>
    <w:p w14:paraId="5C5888B0" w14:textId="5E8F872F" w:rsidR="00C41BE6" w:rsidRDefault="00366A0B">
      <w:pPr>
        <w:pStyle w:val="P"/>
      </w:pPr>
      <w:r w:rsidRPr="00366A0B">
        <w:t xml:space="preserve">The cirrhosis that is associated with viral hepatitis is accompanied by a preponderance of HCC cases.    On a global scale, </w:t>
      </w:r>
      <w:r w:rsidR="00FD23A0" w:rsidRPr="00FD23A0">
        <w:t xml:space="preserve">hepatitis B virus and </w:t>
      </w:r>
      <w:r w:rsidRPr="00366A0B">
        <w:t xml:space="preserve">hepatitis C virus (HCV) infections are recognized as </w:t>
      </w:r>
      <w:r w:rsidR="00F65275" w:rsidRPr="00366A0B">
        <w:t>significant</w:t>
      </w:r>
      <w:r w:rsidRPr="00366A0B">
        <w:t xml:space="preserve"> risk factors for HCC.   Nevertheless, the prevalence of HCC in non-alcoholic fatty liver disease (NAFLD) has been reported in a limited number of studies</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(4)</w:t>
      </w:r>
      <w:r w:rsidR="003568A7">
        <w:fldChar w:fldCharType="end"/>
      </w:r>
      <w:r w:rsidR="003568A7">
        <w:t>.</w:t>
      </w:r>
    </w:p>
    <w:p w14:paraId="4B80A84B" w14:textId="5F1EC412" w:rsidR="00C41BE6" w:rsidRDefault="00366A0B">
      <w:pPr>
        <w:pStyle w:val="P"/>
      </w:pPr>
      <w:r w:rsidRPr="00366A0B">
        <w:t xml:space="preserve">The European Association Study of Liver guidelines recommend the periodic use of ultrasound scanning (US) for HCC surveillance, with or without Alfa-fetoprotein (AFP) </w:t>
      </w:r>
      <w:r w:rsidRPr="00366A0B">
        <w:lastRenderedPageBreak/>
        <w:t>evaluation, as the early detection of HCC is crucial for reducing the tumor's burden.   AFP, the serum biomarker that is employed most frequently, is used to diagnose and monitor HCC on a global scale</w:t>
      </w:r>
      <w:r>
        <w:t xml:space="preserve"> </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(5)</w:t>
      </w:r>
      <w:r w:rsidR="003568A7">
        <w:fldChar w:fldCharType="end"/>
      </w:r>
      <w:r w:rsidR="003568A7">
        <w:t xml:space="preserve">. </w:t>
      </w:r>
      <w:r w:rsidR="00751207" w:rsidRPr="00751207">
        <w:t>Nevertheless, serum AFP levels can be elevated by a variety of benign liver diseases, including chronic hepatitis and LC</w:t>
      </w:r>
      <w:r w:rsidR="00751207">
        <w:t xml:space="preserve"> </w:t>
      </w:r>
      <w:r w:rsidR="003568A7">
        <w:fldChar w:fldCharType="begin"/>
      </w:r>
      <w:r w:rsidR="003568A7">
        <w:instrText xml:space="preserve"> ADDIN EN.CITE &lt;EndNote&gt;&lt;Cite&gt;&lt;Author&gt;Yen&lt;/Author&gt;&lt;Year&gt;2023&lt;/Year&gt;&lt;RecNum&gt;6&lt;/RecNum&gt;&lt;DisplayText&gt;(6)&lt;/DisplayText&gt;&lt;record&gt;&lt;rec-number&gt;6&lt;/rec-number&gt;&lt;foreign-keys&gt;&lt;key app="EN" db-id="zsx905w2ww2r0pepe0dvsse7s9edtx2atfdf" timestamp="1752155912"&gt;6&lt;/key&gt;&lt;/foreign-keys&gt;&lt;ref-type name="Journal Article"&gt;17&lt;/ref-type&gt;&lt;contributors&gt;&lt;authors&gt;&lt;author&gt;Yen, Y. H.&lt;/author&gt;&lt;author&gt;Kee, K. M.&lt;/author&gt;&lt;author&gt;Li, W. F.&lt;/author&gt;&lt;author&gt;Liu, Y. W.&lt;/author&gt;&lt;author&gt;Wang, C. C.&lt;/author&gt;&lt;author&gt;Hu, T. H.&lt;/author&gt;&lt;author&gt;Tsai, M. C.&lt;/author&gt;&lt;author&gt;Lin, C. Y.&lt;/author&gt;&lt;/authors&gt;&lt;/contributors&gt;&lt;auth-address&gt;Division of Hepatogastroenterology, Department of Internal Medicine, Kaohsiung Chang Gung Memorial Hospital and Chang Gung University College of Medicine, Kaohsiung 833, Taiwan.&amp;#xD;Liver Transplantation Center, Department of Surgery, Kaohsiung Chang Gung Memorial Hospital, Kaohsiung 833, Taiwan.&amp;#xD;Biostatistics Center, Kaohsiung Chang Gung Memorial Hospital, Kaohsiung 833, Taiwan.&lt;/auth-address&gt;&lt;titles&gt;&lt;title&gt;Stationary Trend in Elevated Serum Alpha-Fetoprotein Level in Hepatocellular Carcinoma Patients&lt;/title&gt;&lt;secondary-title&gt;Cancers (Basel)&lt;/secondary-title&gt;&lt;/titles&gt;&lt;periodical&gt;&lt;full-title&gt;Cancers (Basel)&lt;/full-title&gt;&lt;/periodical&gt;&lt;pages&gt;43-67&lt;/pages&gt;&lt;volume&gt;15&lt;/volume&gt;&lt;number&gt;4&lt;/number&gt;&lt;edition&gt;20230215&lt;/edition&gt;&lt;keywords&gt;&lt;keyword&gt;alpha-fetoprotein&lt;/keyword&gt;&lt;keyword&gt;hepatitis B virus&lt;/keyword&gt;&lt;keyword&gt;hepatitis C virus&lt;/keyword&gt;&lt;keyword&gt;hepatocellular carcinoma&lt;/keyword&gt;&lt;/keywords&gt;&lt;dates&gt;&lt;year&gt;2023&lt;/year&gt;&lt;pub-dates&gt;&lt;date&gt;Feb 15&lt;/date&gt;&lt;/pub-dates&gt;&lt;/dates&gt;&lt;isbn&gt;2072-6694 (Print)&amp;#xD;2072-6694&lt;/isbn&gt;&lt;accession-num&gt;36831565&lt;/accession-num&gt;&lt;urls&gt;&lt;/urls&gt;&lt;custom1&gt;The authors have no conflict of interest.&lt;/custom1&gt;&lt;custom2&gt;PMC9954058&lt;/custom2&gt;&lt;electronic-resource-num&gt;10.3390/cancers15041222&lt;/electronic-resource-num&gt;&lt;remote-database-provider&gt;NLM&lt;/remote-database-provider&gt;&lt;language&gt;eng&lt;/language&gt;&lt;/record&gt;&lt;/Cite&gt;&lt;/EndNote&gt;</w:instrText>
      </w:r>
      <w:r w:rsidR="003568A7">
        <w:fldChar w:fldCharType="separate"/>
      </w:r>
      <w:r w:rsidR="003568A7">
        <w:rPr>
          <w:noProof/>
        </w:rPr>
        <w:t>(6)</w:t>
      </w:r>
      <w:r w:rsidR="003568A7">
        <w:fldChar w:fldCharType="end"/>
      </w:r>
      <w:r w:rsidR="003568A7">
        <w:t xml:space="preserve">. </w:t>
      </w:r>
      <w:r w:rsidR="00751207" w:rsidRPr="00751207">
        <w:t xml:space="preserve">In some patients with HCC, AFP levels may be </w:t>
      </w:r>
      <w:r w:rsidR="001161E5" w:rsidRPr="00751207">
        <w:t>normal</w:t>
      </w:r>
      <w:r w:rsidR="001161E5">
        <w:t>,</w:t>
      </w:r>
      <w:r w:rsidR="001161E5" w:rsidRPr="00751207">
        <w:t xml:space="preserve"> Consequently</w:t>
      </w:r>
      <w:r w:rsidR="00751207" w:rsidRPr="00751207">
        <w:t xml:space="preserve">, the </w:t>
      </w:r>
      <w:r w:rsidR="00FD23A0" w:rsidRPr="00751207">
        <w:t xml:space="preserve">specificity and </w:t>
      </w:r>
      <w:r w:rsidR="00751207" w:rsidRPr="00751207">
        <w:t>sensitivity of AFP in the diagnosis of HCC are insufficient</w:t>
      </w:r>
      <w:r w:rsidR="003568A7">
        <w:t xml:space="preserve"> </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(7)</w:t>
      </w:r>
      <w:r w:rsidR="003568A7">
        <w:fldChar w:fldCharType="end"/>
      </w:r>
      <w:r w:rsidR="003568A7">
        <w:t>.</w:t>
      </w:r>
    </w:p>
    <w:p w14:paraId="21C535B7" w14:textId="5F1E0948" w:rsidR="00C41BE6" w:rsidRDefault="00FD23A0">
      <w:pPr>
        <w:pStyle w:val="P"/>
      </w:pPr>
      <w:r w:rsidRPr="00FD23A0">
        <w:t xml:space="preserve">The platelet-derived growth factor receptor-beta (PDGFR-β), the cellular receptor for PDGF-BB/AB, is </w:t>
      </w:r>
      <w:r w:rsidR="00F43CFF" w:rsidRPr="00FD23A0">
        <w:t>significantly</w:t>
      </w:r>
      <w:r w:rsidRPr="00FD23A0">
        <w:t xml:space="preserve"> up-regulated during hepatic stellate cell activation in the aftermath of liver injury</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(8, 9)</w:t>
      </w:r>
      <w:r w:rsidR="003568A7">
        <w:fldChar w:fldCharType="end"/>
      </w:r>
      <w:r w:rsidR="003568A7">
        <w:t xml:space="preserve">. </w:t>
      </w:r>
      <w:r w:rsidRPr="00FD23A0">
        <w:t xml:space="preserve">Furthermore, the expression of cancer-associated fibroblasts in the HCC tissue is </w:t>
      </w:r>
      <w:r w:rsidR="00F43CFF" w:rsidRPr="00FD23A0">
        <w:t>significantly</w:t>
      </w:r>
      <w:r w:rsidRPr="00FD23A0">
        <w:t xml:space="preserve"> higher than that of the peritumoral tissue, suggesting that such cells may be present</w:t>
      </w:r>
      <w:r>
        <w:t xml:space="preserve"> </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(10)</w:t>
      </w:r>
      <w:r w:rsidR="003568A7">
        <w:fldChar w:fldCharType="end"/>
      </w:r>
      <w:r w:rsidR="003568A7">
        <w:t>.</w:t>
      </w:r>
      <w:r w:rsidR="00366A0B" w:rsidRPr="00366A0B">
        <w:t>The angiogenic and proliferative capabilities of HCC are significantly influenced by PDGFR-β</w:t>
      </w:r>
      <w:r w:rsidR="00366A0B">
        <w:t xml:space="preserve"> </w:t>
      </w:r>
      <w:r w:rsidR="003568A7">
        <w:fldChar w:fldCharType="begin"/>
      </w:r>
      <w:r w:rsidR="003568A7">
        <w:instrText xml:space="preserve"> ADDIN EN.CITE &lt;EndNote&gt;&lt;Cite&gt;&lt;Author&gt;Luo&lt;/Author&gt;&lt;Year&gt;2024&lt;/Year&gt;&lt;RecNum&gt;11&lt;/RecNum&gt;&lt;DisplayText&gt;(11)&lt;/DisplayText&gt;&lt;record&gt;&lt;rec-number&gt;11&lt;/rec-number&gt;&lt;foreign-keys&gt;&lt;key app="EN" db-id="zsx905w2ww2r0pepe0dvsse7s9edtx2atfdf" timestamp="1752155912"&gt;11&lt;/key&gt;&lt;/foreign-keys&gt;&lt;ref-type name="Journal Article"&gt;17&lt;/ref-type&gt;&lt;contributors&gt;&lt;authors&gt;&lt;author&gt;Luo, X.&lt;/author&gt;&lt;author&gt;He, X.&lt;/author&gt;&lt;author&gt;Zhang, X.&lt;/author&gt;&lt;author&gt;Zhao, X.&lt;/author&gt;&lt;author&gt;Zhang, Y.&lt;/author&gt;&lt;author&gt;Shi, Y.&lt;/author&gt;&lt;author&gt;Hua, S.&lt;/author&gt;&lt;/authors&gt;&lt;/contributors&gt;&lt;auth-address&gt;Department of Radiation Oncology Zhuhai People&amp;apos;s Hospital Zhuhai Hospital Affiliated with Jinan University Zhuhai China.&amp;#xD;Guangdong Provincial Key Laboratory of Tumor Interventional Diagnosis and Treatment Zhuhai People&amp;apos;s Hospital Zhuhai Hospital Affiliated with Jinan University Zhuhai China.&amp;#xD;Department of Neurobiology School of Basic Medical Sciences Southern Medical University Guangzhou China.&lt;/auth-address&gt;&lt;titles&gt;&lt;title&gt;Hepatocellular carcinoma: signaling pathways, targeted therapy, and immunotherapy&lt;/title&gt;&lt;secondary-title&gt;MedComm (2020)&lt;/secondary-title&gt;&lt;/titles&gt;&lt;periodical&gt;&lt;full-title&gt;MedComm (2020)&lt;/full-title&gt;&lt;/periodical&gt;&lt;pages&gt;474-488&lt;/pages&gt;&lt;volume&gt;5&lt;/volume&gt;&lt;number&gt;2&lt;/number&gt;&lt;edition&gt;20240204&lt;/edition&gt;&lt;keywords&gt;&lt;keyword&gt;hepatocellular carcinoma&lt;/keyword&gt;&lt;keyword&gt;immunotherapy&lt;/keyword&gt;&lt;keyword&gt;signaling pathways&lt;/keyword&gt;&lt;keyword&gt;targeted therapy&lt;/keyword&gt;&lt;/keywords&gt;&lt;dates&gt;&lt;year&gt;2024&lt;/year&gt;&lt;pub-dates&gt;&lt;date&gt;Feb&lt;/date&gt;&lt;/pub-dates&gt;&lt;/dates&gt;&lt;isbn&gt;2688-2663&lt;/isbn&gt;&lt;accession-num&gt;38318160&lt;/accession-num&gt;&lt;urls&gt;&lt;/urls&gt;&lt;custom1&gt;The authors declare no conflict of interest.&lt;/custom1&gt;&lt;custom2&gt;PMC10838672&lt;/custom2&gt;&lt;electronic-resource-num&gt;10.1002/mco2.474&lt;/electronic-resource-num&gt;&lt;remote-database-provider&gt;NLM&lt;/remote-database-provider&gt;&lt;language&gt;eng&lt;/language&gt;&lt;/record&gt;&lt;/Cite&gt;&lt;/EndNote&gt;</w:instrText>
      </w:r>
      <w:r w:rsidR="003568A7">
        <w:fldChar w:fldCharType="separate"/>
      </w:r>
      <w:r w:rsidR="003568A7">
        <w:rPr>
          <w:noProof/>
        </w:rPr>
        <w:t>(11)</w:t>
      </w:r>
      <w:r w:rsidR="003568A7">
        <w:fldChar w:fldCharType="end"/>
      </w:r>
      <w:r w:rsidR="003568A7">
        <w:t>.</w:t>
      </w:r>
    </w:p>
    <w:p w14:paraId="01068649" w14:textId="355728F6" w:rsidR="0028365D" w:rsidRDefault="00751757" w:rsidP="0028365D">
      <w:pPr>
        <w:pStyle w:val="P"/>
      </w:pPr>
      <w:r w:rsidRPr="00751757">
        <w:t xml:space="preserve">The presence of soluble PDGFR-β has a </w:t>
      </w:r>
      <w:r w:rsidR="005558B7" w:rsidRPr="00751757">
        <w:t>significant</w:t>
      </w:r>
      <w:r w:rsidRPr="00751757">
        <w:t xml:space="preserve"> impact on the identification of HCC.</w:t>
      </w:r>
      <w:r>
        <w:t xml:space="preserve"> </w:t>
      </w:r>
      <w:r w:rsidR="0009775A">
        <w:rPr>
          <w:b/>
          <w:bCs/>
        </w:rPr>
        <w:t>Lambrecht</w:t>
      </w:r>
      <w:r w:rsidR="003568A7">
        <w:rPr>
          <w:b/>
          <w:bCs/>
        </w:rPr>
        <w:t xml:space="preserve"> and his </w:t>
      </w:r>
      <w:proofErr w:type="spellStart"/>
      <w:r w:rsidR="003568A7">
        <w:rPr>
          <w:b/>
          <w:bCs/>
        </w:rPr>
        <w:t>collegue</w:t>
      </w:r>
      <w:proofErr w:type="spellEnd"/>
      <w:r w:rsidR="003568A7">
        <w:t xml:space="preserve"> </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(12)</w:t>
      </w:r>
      <w:r w:rsidR="003568A7">
        <w:fldChar w:fldCharType="end"/>
      </w:r>
      <w:r w:rsidR="003568A7">
        <w:t xml:space="preserve"> </w:t>
      </w:r>
      <w:r w:rsidR="0028365D" w:rsidRPr="0028365D">
        <w:t>The identification of HCC is significantly influenced by the presence of soluble PDGFR-β.</w:t>
      </w:r>
    </w:p>
    <w:p w14:paraId="2D9E46DF" w14:textId="77777777" w:rsidR="00FD23A0" w:rsidRDefault="00FD23A0">
      <w:pPr>
        <w:spacing w:before="240" w:after="0" w:line="240" w:lineRule="auto"/>
        <w:jc w:val="lowKashida"/>
        <w:rPr>
          <w:rFonts w:ascii="Times New Roman" w:hAnsi="Times New Roman" w:cs="Times New Roman"/>
          <w:sz w:val="24"/>
          <w:szCs w:val="24"/>
        </w:rPr>
      </w:pPr>
      <w:r w:rsidRPr="00FD23A0">
        <w:rPr>
          <w:rFonts w:ascii="Times New Roman" w:hAnsi="Times New Roman" w:cs="Times New Roman"/>
          <w:sz w:val="24"/>
          <w:szCs w:val="24"/>
        </w:rPr>
        <w:t>In order to assess the diagnostic value of blood soluble PDGFR-β levels and the significance of the APAC score in the early detection of HCC in Egyptian patients with hepatitis C virus-induced liver cirrhosis, this investigation was conducted.</w:t>
      </w:r>
    </w:p>
    <w:p w14:paraId="0A78A445" w14:textId="69599B0E" w:rsidR="00C41BE6" w:rsidRDefault="003568A7">
      <w:pPr>
        <w:spacing w:before="240" w:after="0" w:line="240" w:lineRule="auto"/>
        <w:jc w:val="lowKashida"/>
        <w:rPr>
          <w:rFonts w:ascii="Times New Roman" w:hAnsi="Times New Roman" w:cs="Times New Roman"/>
          <w:b/>
          <w:bCs/>
          <w:sz w:val="24"/>
          <w:szCs w:val="24"/>
          <w:u w:val="single"/>
        </w:rPr>
      </w:pPr>
      <w:r>
        <w:rPr>
          <w:rFonts w:ascii="Times New Roman" w:hAnsi="Times New Roman" w:cs="Times New Roman"/>
          <w:b/>
          <w:bCs/>
          <w:sz w:val="24"/>
          <w:szCs w:val="24"/>
          <w:u w:val="single"/>
        </w:rPr>
        <w:t>Patients and methods</w:t>
      </w:r>
    </w:p>
    <w:p w14:paraId="36A506BB" w14:textId="3AE749ED" w:rsidR="001161E5" w:rsidRDefault="001161E5">
      <w:pPr>
        <w:pStyle w:val="P"/>
      </w:pPr>
      <w:r w:rsidRPr="001161E5">
        <w:t>From May 2023 to October 2023, this prospective cross-sectional investigation was conducted on 40 HCV cirrhotic patients with HCC and 40 cirrhotic patients without HCC who were admitted to the Hepatology, Gastroenterology, and Infectious Disease Department at Benha University Hospital.  At Benha University's Department of Medicine, serum samples were examined in the Department of Medical Biochemistry and Molecular Biology.</w:t>
      </w:r>
    </w:p>
    <w:p w14:paraId="5B94365A" w14:textId="77777777" w:rsidR="00FD23A0" w:rsidRDefault="00FD23A0">
      <w:pPr>
        <w:pStyle w:val="P"/>
      </w:pPr>
      <w:r w:rsidRPr="00FD23A0">
        <w:t>The patients provided informed written assent.   Each patient was informed of the purposes of the study and allocated a confidential code number.   The investigation was conducted with the consent of the investigation Ethics Committee at the Faculty of Medicine at Benha University.</w:t>
      </w:r>
    </w:p>
    <w:p w14:paraId="023DA00B" w14:textId="2EAA6FEA" w:rsidR="00C41BE6" w:rsidRDefault="003568A7">
      <w:pPr>
        <w:pStyle w:val="P"/>
        <w:rPr>
          <w:b/>
          <w:bCs/>
        </w:rPr>
      </w:pPr>
      <w:r>
        <w:rPr>
          <w:b/>
          <w:bCs/>
        </w:rPr>
        <w:t>Sample size</w:t>
      </w:r>
    </w:p>
    <w:p w14:paraId="3C69A229" w14:textId="77777777" w:rsidR="004B37AC" w:rsidRDefault="004B37AC" w:rsidP="004B37AC">
      <w:pPr>
        <w:pStyle w:val="P"/>
      </w:pPr>
      <w:r w:rsidRPr="004B37AC">
        <w:t>We employed STATA software (</w:t>
      </w:r>
      <w:proofErr w:type="spellStart"/>
      <w:r w:rsidRPr="004B37AC">
        <w:t>StataCorp</w:t>
      </w:r>
      <w:proofErr w:type="spellEnd"/>
      <w:r w:rsidRPr="004B37AC">
        <w:t>., 2021) to determine the sample size.  17th release of Stata Statistical Software.  Stata Corporation LLC, College Station, TX.  By performing a sample size analysis for a matched case-control study.</w:t>
      </w:r>
      <w:r>
        <w:t xml:space="preserve"> </w:t>
      </w:r>
      <w:r w:rsidR="003568A7">
        <w:rPr>
          <w:b/>
          <w:bCs/>
        </w:rPr>
        <w:t>Lambrecht  et al.</w:t>
      </w:r>
      <w:r w:rsidR="003568A7">
        <w:t xml:space="preserve"> </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(12)</w:t>
      </w:r>
      <w:r w:rsidR="003568A7">
        <w:fldChar w:fldCharType="end"/>
      </w:r>
      <w:r w:rsidR="003568A7">
        <w:t xml:space="preserve"> reported that AUC of APAC score is 0.950 , while </w:t>
      </w:r>
      <w:r w:rsidR="003568A7">
        <w:rPr>
          <w:b/>
          <w:bCs/>
        </w:rPr>
        <w:t>Attallah</w:t>
      </w:r>
      <w:r w:rsidR="003568A7">
        <w:t xml:space="preserve"> </w:t>
      </w:r>
      <w:r w:rsidR="003568A7">
        <w:rPr>
          <w:b/>
          <w:bCs/>
        </w:rPr>
        <w:t>et al.</w:t>
      </w:r>
      <w:r w:rsidR="003568A7">
        <w:t xml:space="preserve"> </w:t>
      </w:r>
      <w:r w:rsidR="003568A7">
        <w:fldChar w:fldCharType="begin"/>
      </w:r>
      <w:r w:rsidR="003568A7">
        <w:instrText xml:space="preserve"> ADDIN EN.CITE &lt;EndNote&gt;&lt;Cite&gt;&lt;Author&gt;Attallah&lt;/Author&gt;&lt;Year&gt;2018&lt;/Year&gt;&lt;RecNum&gt;13&lt;/RecNum&gt;&lt;DisplayText&gt;(13)&lt;/DisplayText&gt;&lt;record&gt;&lt;rec-number&gt;13&lt;/rec-number&gt;&lt;foreign-keys&gt;&lt;key app="EN" db-id="zsx905w2ww2r0pepe0dvsse7s9edtx2atfdf" timestamp="1752155912"&gt;13&lt;/key&gt;&lt;/foreign-keys&gt;&lt;ref-type name="Journal Article"&gt;17&lt;/ref-type&gt;&lt;contributors&gt;&lt;authors&gt;&lt;author&gt;Attallah, AM&lt;/author&gt;&lt;author&gt;Omran, D&lt;/author&gt;&lt;author&gt;Omran, MM&lt;/author&gt;&lt;author&gt;Albannan, MS&lt;/author&gt;&lt;author&gt;Zayed, RA&lt;/author&gt;&lt;author&gt;Saif, S&lt;/author&gt;&lt;author&gt;Farid, A&lt;/author&gt;&lt;author&gt;Hassany, M&lt;/author&gt;&lt;author&gt;Yosry, A&lt;/author&gt;&lt;/authors&gt;&lt;/contributors&gt;&lt;titles&gt;&lt;title&gt;Fibro-Mark: a panel of laboratory parameters for predicting significant fibrosis in chronic hepatitis C patients&lt;/title&gt;&lt;secondary-title&gt;Br J Biomed Sci&lt;/secondary-title&gt;&lt;/titles&gt;&lt;periodical&gt;&lt;full-title&gt;Br J Biomed Sci&lt;/full-title&gt;&lt;/periodical&gt;&lt;pages&gt;19-23&lt;/pages&gt;&lt;volume&gt;75&lt;/volume&gt;&lt;number&gt;1&lt;/number&gt;&lt;dates&gt;&lt;year&gt;2018&lt;/year&gt;&lt;/dates&gt;&lt;isbn&gt;0967-4845&lt;/isbn&gt;&lt;urls&gt;&lt;/urls&gt;&lt;/record&gt;&lt;/Cite&gt;&lt;/EndNote&gt;</w:instrText>
      </w:r>
      <w:r w:rsidR="003568A7">
        <w:fldChar w:fldCharType="separate"/>
      </w:r>
      <w:r w:rsidR="003568A7">
        <w:rPr>
          <w:noProof/>
        </w:rPr>
        <w:t>(13)</w:t>
      </w:r>
      <w:r w:rsidR="003568A7">
        <w:fldChar w:fldCharType="end"/>
      </w:r>
      <w:r w:rsidR="003568A7">
        <w:t xml:space="preserve"> </w:t>
      </w:r>
      <w:r w:rsidRPr="004B37AC">
        <w:t>The gold standard for AFP AUC was reported to be 0.772, with a case-to-control ratio of 1:1. The sample size will be 40 subjects, with 20 cases in each group, and a power of 80% and an alpha error of 5%.</w:t>
      </w:r>
    </w:p>
    <w:p w14:paraId="28B5E39D" w14:textId="77777777" w:rsidR="004B37AC" w:rsidRDefault="004B37AC">
      <w:pPr>
        <w:pStyle w:val="P"/>
      </w:pPr>
      <w:r w:rsidRPr="004B37AC">
        <w:lastRenderedPageBreak/>
        <w:t xml:space="preserve">There were two equally sized groups of patients:  40 patients with chronic HCV infection-induced liver cirrhosis were included in </w:t>
      </w:r>
      <w:r w:rsidRPr="004B37AC">
        <w:rPr>
          <w:b/>
          <w:bCs/>
        </w:rPr>
        <w:t>Group I</w:t>
      </w:r>
      <w:r w:rsidRPr="004B37AC">
        <w:t xml:space="preserve">, but they did not have HCC.  </w:t>
      </w:r>
      <w:r w:rsidRPr="004B37AC">
        <w:rPr>
          <w:b/>
          <w:bCs/>
        </w:rPr>
        <w:t>Group II</w:t>
      </w:r>
      <w:r w:rsidRPr="004B37AC">
        <w:t xml:space="preserve"> consisted of 40 patients who were cirrhotic as a result of chronic HCV infection with HCC.</w:t>
      </w:r>
    </w:p>
    <w:p w14:paraId="7517E388" w14:textId="7D47F42F" w:rsidR="00C853E0" w:rsidRDefault="00C853E0" w:rsidP="004B37AC">
      <w:pPr>
        <w:pStyle w:val="P"/>
        <w:rPr>
          <w:color w:val="000000"/>
        </w:rPr>
      </w:pPr>
      <w:r w:rsidRPr="00C853E0">
        <w:rPr>
          <w:color w:val="000000"/>
        </w:rPr>
        <w:t xml:space="preserve">Patients under the age of 18 and those with LC caused by other factors than HCV (such as HBV infection, autoimmune and metabolic liver </w:t>
      </w:r>
      <w:r w:rsidR="00FD23A0" w:rsidRPr="00C853E0">
        <w:rPr>
          <w:color w:val="000000"/>
        </w:rPr>
        <w:t>diseases) Exclusionary</w:t>
      </w:r>
      <w:r w:rsidRPr="00C853E0">
        <w:rPr>
          <w:color w:val="000000"/>
        </w:rPr>
        <w:t xml:space="preserve"> criteria for the investigation included patients with recurrent HCC, chronic renal disease, extra-hepatic malignancies, portal vein invasion, metastatic liver cancer, other liver malignancies (such as hepatoblastoma), and patients who had received prior therapy for HCC lesion.</w:t>
      </w:r>
    </w:p>
    <w:p w14:paraId="782EB080" w14:textId="0BC3E43E" w:rsidR="00C41BE6" w:rsidRDefault="003568A7" w:rsidP="004B37AC">
      <w:pPr>
        <w:pStyle w:val="P"/>
      </w:pPr>
      <w:r>
        <w:t xml:space="preserve">HCC diagnosed by triphasic </w:t>
      </w:r>
      <w:r w:rsidR="004B37AC">
        <w:t>spiral CT</w:t>
      </w:r>
      <w:r>
        <w:t xml:space="preserve"> showing (early arterial enhancement followed by rapid wash out in </w:t>
      </w:r>
      <w:proofErr w:type="spellStart"/>
      <w:r>
        <w:t>porto</w:t>
      </w:r>
      <w:proofErr w:type="spellEnd"/>
      <w:r>
        <w:t xml:space="preserve"> venous or delayed phase) </w:t>
      </w:r>
      <w:r>
        <w:fldChar w:fldCharType="begin"/>
      </w:r>
      <w:r>
        <w:instrText xml:space="preserve"> ADDIN EN.CITE </w:instrText>
      </w:r>
      <w:r>
        <w:fldChar w:fldCharType="begin"/>
      </w:r>
      <w:r>
        <w:instrText xml:space="preserve"> ADDIN EN.CITE.DATA </w:instrText>
      </w:r>
      <w:r>
        <w:fldChar w:fldCharType="end"/>
      </w:r>
      <w:r>
        <w:fldChar w:fldCharType="separate"/>
      </w:r>
      <w:r>
        <w:rPr>
          <w:noProof/>
        </w:rPr>
        <w:t>(14)</w:t>
      </w:r>
      <w:r>
        <w:fldChar w:fldCharType="end"/>
      </w:r>
    </w:p>
    <w:p w14:paraId="3236193C" w14:textId="79CF5832" w:rsidR="00C41BE6" w:rsidRDefault="003568A7" w:rsidP="00B71844">
      <w:pPr>
        <w:pStyle w:val="P"/>
        <w:rPr>
          <w:lang w:bidi="en-US"/>
        </w:rPr>
      </w:pPr>
      <w:r>
        <w:rPr>
          <w:b/>
          <w:bCs/>
        </w:rPr>
        <w:t xml:space="preserve">All studied cases were subjected to: </w:t>
      </w:r>
      <w:r w:rsidR="004B37AC" w:rsidRPr="004B37AC">
        <w:rPr>
          <w:lang w:bidi="en-US"/>
        </w:rPr>
        <w:t>In-depth history-taking,</w:t>
      </w:r>
      <w:r w:rsidR="00C853E0" w:rsidRPr="00C853E0">
        <w:rPr>
          <w:lang w:bidi="en-US"/>
        </w:rPr>
        <w:t xml:space="preserve"> </w:t>
      </w:r>
      <w:r w:rsidR="00C853E0" w:rsidRPr="004B37AC">
        <w:rPr>
          <w:lang w:bidi="en-US"/>
        </w:rPr>
        <w:t>laboratory investigations, and</w:t>
      </w:r>
      <w:r w:rsidR="00C853E0">
        <w:rPr>
          <w:lang w:bidi="en-US"/>
        </w:rPr>
        <w:t xml:space="preserve"> </w:t>
      </w:r>
      <w:r w:rsidR="004B37AC" w:rsidRPr="004B37AC">
        <w:rPr>
          <w:lang w:bidi="en-US"/>
        </w:rPr>
        <w:t>comprehensive clinical examination.</w:t>
      </w:r>
      <w:r w:rsidR="00452FDA" w:rsidRPr="00452FDA">
        <w:rPr>
          <w:b/>
          <w:bCs/>
          <w:lang w:bidi="en-US"/>
        </w:rPr>
        <w:t xml:space="preserve"> </w:t>
      </w:r>
      <w:r w:rsidR="00452FDA">
        <w:rPr>
          <w:b/>
          <w:bCs/>
          <w:lang w:bidi="en-US"/>
        </w:rPr>
        <w:t>Sample collection:</w:t>
      </w:r>
      <w:r w:rsidR="00452FDA">
        <w:rPr>
          <w:lang w:bidi="en-US"/>
        </w:rPr>
        <w:t xml:space="preserve"> </w:t>
      </w:r>
      <w:r w:rsidR="004B37AC" w:rsidRPr="004B37AC">
        <w:rPr>
          <w:lang w:bidi="en-US"/>
        </w:rPr>
        <w:t xml:space="preserve">Three portions of the blood sample were divided: the initial portion (1 ml) was used for CBC and PDGFR-β.  Second component (0.9 ml) for INR determination.  The third component (approximately 4 milliliter) is intended for the determination of additional serological and biochemical investigations.  Markers of hepatitis viral infection:  HCV antibody </w:t>
      </w:r>
      <w:r w:rsidR="00452FDA">
        <w:rPr>
          <w:lang w:bidi="en-US"/>
        </w:rPr>
        <w:fldChar w:fldCharType="begin"/>
      </w:r>
      <w:r w:rsidR="00452FDA">
        <w:rPr>
          <w:lang w:bidi="en-US"/>
        </w:rPr>
        <w:instrText xml:space="preserve"> ADDIN EN.CITE &lt;EndNote&gt;&lt;Cite&gt;&lt;Author&gt;Woo&lt;/Author&gt;&lt;Year&gt;2024&lt;/Year&gt;&lt;RecNum&gt;15&lt;/RecNum&gt;&lt;DisplayText&gt;(15)&lt;/DisplayText&gt;&lt;record&gt;&lt;rec-number&gt;15&lt;/rec-number&gt;&lt;foreign-keys&gt;&lt;key app="EN" db-id="zsx905w2ww2r0pepe0dvsse7s9edtx2atfdf" timestamp="1752155912"&gt;15&lt;/key&gt;&lt;/foreign-keys&gt;&lt;ref-type name="Journal Article"&gt;17&lt;/ref-type&gt;&lt;contributors&gt;&lt;authors&gt;&lt;author&gt;Woo, J.&lt;/author&gt;&lt;author&gt;Choi, Y.&lt;/author&gt;&lt;/authors&gt;&lt;/contributors&gt;&lt;auth-address&gt;Division of Viral Hepatitis, National Center for HIV, Viral Hepatitis, STD and TB Prevention, US Centers for Disease Control and Prevention (CDC), Atlanta, GA 30329-4018, USA.&lt;/auth-address&gt;&lt;titles&gt;&lt;title&gt;Biomarkers in Detection of Hepatitis C Virus Infection&lt;/title&gt;&lt;secondary-title&gt;Pathogens&lt;/secondary-title&gt;&lt;/titles&gt;&lt;periodical&gt;&lt;full-title&gt;Pathogens&lt;/full-title&gt;&lt;/periodical&gt;&lt;pages&gt;23-65&lt;/pages&gt;&lt;volume&gt;13&lt;/volume&gt;&lt;number&gt;4&lt;/number&gt;&lt;edition&gt;20240417&lt;/edition&gt;&lt;keywords&gt;&lt;keyword&gt;Humans&lt;/keyword&gt;&lt;keyword&gt;Alanine Transaminase/blood&lt;/keyword&gt;&lt;keyword&gt;*Biomarkers/blood&lt;/keyword&gt;&lt;keyword&gt;*Hepacivirus/genetics/immunology/isolation &amp;amp; purification&lt;/keyword&gt;&lt;keyword&gt;*Hepatitis C/blood/diagnosis/epidemiology/virology&lt;/keyword&gt;&lt;keyword&gt;Hepatitis C Antibodies/blood&lt;/keyword&gt;&lt;keyword&gt;RNA, Viral/blood&lt;/keyword&gt;&lt;keyword&gt;detection markers for HCV infection&lt;/keyword&gt;&lt;keyword&gt;hepatitis C virus&lt;/keyword&gt;&lt;keyword&gt;hepatocellular carcinoma (HCC)&lt;/keyword&gt;&lt;keyword&gt;host biomarkers in acute and chronic hepatitis C&lt;/keyword&gt;&lt;keyword&gt;liver fibrosis/cirrhosis&lt;/keyword&gt;&lt;/keywords&gt;&lt;dates&gt;&lt;year&gt;2024&lt;/year&gt;&lt;pub-dates&gt;&lt;date&gt;Apr 17&lt;/date&gt;&lt;/pub-dates&gt;&lt;/dates&gt;&lt;isbn&gt;2076-0817 (Print)&amp;#xD;2076-0817&lt;/isbn&gt;&lt;accession-num&gt;38668286&lt;/accession-num&gt;&lt;urls&gt;&lt;/urls&gt;&lt;custom1&gt;All authors declare no competing interests.&lt;/custom1&gt;&lt;custom2&gt;PMC11054098&lt;/custom2&gt;&lt;electronic-resource-num&gt;10.3390/pathogens13040331&lt;/electronic-resource-num&gt;&lt;remote-database-provider&gt;NLM&lt;/remote-database-provider&gt;&lt;language&gt;eng&lt;/language&gt;&lt;/record&gt;&lt;/Cite&gt;&lt;/EndNote&gt;</w:instrText>
      </w:r>
      <w:r w:rsidR="00452FDA">
        <w:rPr>
          <w:lang w:bidi="en-US"/>
        </w:rPr>
        <w:fldChar w:fldCharType="separate"/>
      </w:r>
      <w:r w:rsidR="00452FDA">
        <w:rPr>
          <w:noProof/>
          <w:lang w:bidi="en-US"/>
        </w:rPr>
        <w:t>(15)</w:t>
      </w:r>
      <w:r w:rsidR="00452FDA">
        <w:rPr>
          <w:lang w:bidi="en-US"/>
        </w:rPr>
        <w:fldChar w:fldCharType="end"/>
      </w:r>
      <w:r w:rsidR="00452FDA">
        <w:rPr>
          <w:lang w:bidi="en-US"/>
        </w:rPr>
        <w:t xml:space="preserve"> </w:t>
      </w:r>
      <w:r w:rsidR="004B37AC" w:rsidRPr="004B37AC">
        <w:rPr>
          <w:lang w:bidi="en-US"/>
        </w:rPr>
        <w:t xml:space="preserve">and </w:t>
      </w:r>
      <w:r w:rsidR="00366A0B" w:rsidRPr="00366A0B">
        <w:rPr>
          <w:lang w:bidi="en-US"/>
        </w:rPr>
        <w:t>An enzyme-linked immunosorbent assay (ELISA) with three generations was implemented to ascertain HBsAg</w:t>
      </w:r>
      <w:r w:rsidR="00452FDA">
        <w:rPr>
          <w:lang w:bidi="en-US"/>
        </w:rPr>
        <w:fldChar w:fldCharType="begin"/>
      </w:r>
      <w:r w:rsidR="00452FDA">
        <w:rPr>
          <w:lang w:bidi="en-US"/>
        </w:rPr>
        <w:instrText xml:space="preserve"> ADDIN EN.CITE &lt;EndNote&gt;&lt;Cite&gt;&lt;Author&gt;Ndiaye&lt;/Author&gt;&lt;Year&gt;2022&lt;/Year&gt;&lt;RecNum&gt;16&lt;/RecNum&gt;&lt;DisplayText&gt;(16)&lt;/DisplayText&gt;&lt;record&gt;&lt;rec-number&gt;16&lt;/rec-number&gt;&lt;foreign-keys&gt;&lt;key app="EN" db-id="zsx905w2ww2r0pepe0dvsse7s9edtx2atfdf" timestamp="1752155912"&gt;16&lt;/key&gt;&lt;/foreign-keys&gt;&lt;ref-type name="Journal Article"&gt;17&lt;/ref-type&gt;&lt;contributors&gt;&lt;authors&gt;&lt;author&gt;Ndiaye, A. J. S.&lt;/author&gt;&lt;author&gt;Diop-Ndiaye, H.&lt;/author&gt;&lt;author&gt;Lo, G.&lt;/author&gt;&lt;author&gt;Dia, A.&lt;/author&gt;&lt;author&gt;Diakhaby, Mehb&lt;/author&gt;&lt;author&gt;Sow, A.&lt;/author&gt;&lt;author&gt;Dieng, A.&lt;/author&gt;&lt;author&gt;Mboup, S.&lt;/author&gt;&lt;author&gt;Boye, C. S. B.&lt;/author&gt;&lt;author&gt;Kane, C. T.&lt;/author&gt;&lt;/authors&gt;&lt;/contributors&gt;&lt;auth-address&gt;Laboratory of Bacteriology Virology, Hospital Center University Aristide Le Dantec, Dakar, Senegal.&amp;#xD;Institut de Recherche en Santé de Surveillance Epidémiologique et de Formation, Dakar, Sénégal.&lt;/auth-address&gt;&lt;titles&gt;&lt;title&gt;Detection and quantitation of hepatitis B surface antigen (HBsAg) on dried blood spots: a solution for easy access for hepatitis B diagnosis and elimination in remote areas&lt;/title&gt;&lt;secondary-title&gt;Pan Afr Med J&lt;/secondary-title&gt;&lt;/titles&gt;&lt;periodical&gt;&lt;full-title&gt;Pan Afr Med J&lt;/full-title&gt;&lt;/periodical&gt;&lt;pages&gt;100-134&lt;/pages&gt;&lt;volume&gt;42&lt;/volume&gt;&lt;edition&gt;20220607&lt;/edition&gt;&lt;keywords&gt;&lt;keyword&gt;*Hepatitis B&lt;/keyword&gt;&lt;keyword&gt;*Hepatitis B Surface Antigens&lt;/keyword&gt;&lt;keyword&gt;Hepatitis B virus&lt;/keyword&gt;&lt;keyword&gt;Humans&lt;/keyword&gt;&lt;keyword&gt;Sensitivity and Specificity&lt;/keyword&gt;&lt;keyword&gt;HBsAg quantification&lt;/keyword&gt;&lt;keyword&gt;dried blood spots&lt;/keyword&gt;&lt;/keywords&gt;&lt;dates&gt;&lt;year&gt;2022&lt;/year&gt;&lt;/dates&gt;&lt;accession-num&gt;36034040&lt;/accession-num&gt;&lt;urls&gt;&lt;/urls&gt;&lt;custom1&gt;The authors declare no competing interests.&lt;/custom1&gt;&lt;custom2&gt;PMC9379421&lt;/custom2&gt;&lt;electronic-resource-num&gt;10.11604/pamj.2022.42.100.30531&lt;/electronic-resource-num&gt;&lt;remote-database-provider&gt;NLM&lt;/remote-database-provider&gt;&lt;language&gt;eng&lt;/language&gt;&lt;/record&gt;&lt;/Cite&gt;&lt;/EndNote&gt;</w:instrText>
      </w:r>
      <w:r w:rsidR="00452FDA">
        <w:rPr>
          <w:lang w:bidi="en-US"/>
        </w:rPr>
        <w:fldChar w:fldCharType="separate"/>
      </w:r>
      <w:r w:rsidR="00452FDA">
        <w:rPr>
          <w:noProof/>
          <w:lang w:bidi="en-US"/>
        </w:rPr>
        <w:t>(16)</w:t>
      </w:r>
      <w:r w:rsidR="00452FDA">
        <w:rPr>
          <w:lang w:bidi="en-US"/>
        </w:rPr>
        <w:fldChar w:fldCharType="end"/>
      </w:r>
      <w:r w:rsidR="00452FDA">
        <w:rPr>
          <w:lang w:bidi="en-US"/>
        </w:rPr>
        <w:t xml:space="preserve">, </w:t>
      </w:r>
      <w:r w:rsidR="00751757" w:rsidRPr="00751757">
        <w:rPr>
          <w:lang w:bidi="en-US"/>
        </w:rPr>
        <w:t>ELISA was employed to quantify the serum soluble platelet-derived growth factor receptor-β (</w:t>
      </w:r>
      <w:proofErr w:type="spellStart"/>
      <w:r w:rsidR="00751757" w:rsidRPr="00751757">
        <w:rPr>
          <w:lang w:bidi="en-US"/>
        </w:rPr>
        <w:t>sPDGFR</w:t>
      </w:r>
      <w:proofErr w:type="spellEnd"/>
      <w:r w:rsidR="00751757" w:rsidRPr="00751757">
        <w:rPr>
          <w:lang w:bidi="en-US"/>
        </w:rPr>
        <w:t>-β) and serum AFP levels.   (Thermo Fisher Scientific, Waltham, MA, USA)</w:t>
      </w:r>
      <w:r w:rsidR="00751757">
        <w:rPr>
          <w:lang w:bidi="en-US"/>
        </w:rPr>
        <w:t xml:space="preserve"> </w:t>
      </w:r>
      <w:r w:rsidR="00452FDA">
        <w:rPr>
          <w:lang w:bidi="en-US"/>
        </w:rPr>
        <w:fldChar w:fldCharType="begin"/>
      </w:r>
      <w:r w:rsidR="00452FDA">
        <w:rPr>
          <w:lang w:bidi="en-US"/>
        </w:rPr>
        <w:instrText xml:space="preserve"> ADDIN EN.CITE </w:instrText>
      </w:r>
      <w:r w:rsidR="00452FDA">
        <w:rPr>
          <w:lang w:bidi="en-US"/>
        </w:rPr>
        <w:fldChar w:fldCharType="begin"/>
      </w:r>
      <w:r w:rsidR="00452FDA">
        <w:rPr>
          <w:lang w:bidi="en-US"/>
        </w:rPr>
        <w:instrText xml:space="preserve"> ADDIN EN.CITE.DATA </w:instrText>
      </w:r>
      <w:r w:rsidR="00452FDA">
        <w:rPr>
          <w:lang w:bidi="en-US"/>
        </w:rPr>
        <w:fldChar w:fldCharType="end"/>
      </w:r>
      <w:r w:rsidR="00452FDA">
        <w:rPr>
          <w:lang w:bidi="en-US"/>
        </w:rPr>
        <w:fldChar w:fldCharType="separate"/>
      </w:r>
      <w:r w:rsidR="00452FDA">
        <w:rPr>
          <w:noProof/>
          <w:lang w:bidi="en-US"/>
        </w:rPr>
        <w:t>(12)</w:t>
      </w:r>
      <w:r w:rsidR="00452FDA">
        <w:rPr>
          <w:lang w:bidi="en-US"/>
        </w:rPr>
        <w:fldChar w:fldCharType="end"/>
      </w:r>
      <w:r w:rsidR="00452FDA">
        <w:rPr>
          <w:lang w:bidi="en-US"/>
        </w:rPr>
        <w:t xml:space="preserve">. </w:t>
      </w:r>
      <w:r w:rsidR="00CD654F">
        <w:rPr>
          <w:lang w:bidi="en-US"/>
        </w:rPr>
        <w:t>E</w:t>
      </w:r>
      <w:r w:rsidR="00366A0B" w:rsidRPr="00366A0B">
        <w:rPr>
          <w:lang w:bidi="en-US"/>
        </w:rPr>
        <w:t>rythrocyte sedimentation rate (ESR)</w:t>
      </w:r>
      <w:r w:rsidR="00CD654F" w:rsidRPr="00CD654F">
        <w:rPr>
          <w:lang w:bidi="en-US"/>
        </w:rPr>
        <w:t xml:space="preserve"> </w:t>
      </w:r>
      <w:r w:rsidR="00CD654F" w:rsidRPr="00366A0B">
        <w:rPr>
          <w:lang w:bidi="en-US"/>
        </w:rPr>
        <w:t>and</w:t>
      </w:r>
      <w:r w:rsidR="00CD654F" w:rsidRPr="00CD654F">
        <w:rPr>
          <w:lang w:bidi="en-US"/>
        </w:rPr>
        <w:t xml:space="preserve"> </w:t>
      </w:r>
      <w:r w:rsidR="00CD654F" w:rsidRPr="00366A0B">
        <w:rPr>
          <w:lang w:bidi="en-US"/>
        </w:rPr>
        <w:t>Complete blood count</w:t>
      </w:r>
      <w:r w:rsidR="00366A0B" w:rsidRPr="00366A0B">
        <w:rPr>
          <w:lang w:bidi="en-US"/>
        </w:rPr>
        <w:t xml:space="preserve"> are two examples of </w:t>
      </w:r>
      <w:r w:rsidR="00366A0B" w:rsidRPr="00366A0B">
        <w:rPr>
          <w:b/>
          <w:bCs/>
          <w:lang w:bidi="en-US"/>
        </w:rPr>
        <w:t>laboratory investigations.</w:t>
      </w:r>
      <w:r>
        <w:rPr>
          <w:lang w:bidi="en-US"/>
        </w:rPr>
        <w:fldChar w:fldCharType="begin"/>
      </w:r>
      <w:r>
        <w:rPr>
          <w:lang w:bidi="en-US"/>
        </w:rPr>
        <w:instrText xml:space="preserve"> ADDIN EN.CITE &lt;EndNote&gt;&lt;Cite&gt;&lt;Author&gt;Bray&lt;/Author&gt;&lt;Year&gt;2016&lt;/Year&gt;&lt;RecNum&gt;17&lt;/RecNum&gt;&lt;DisplayText&gt;(17)&lt;/DisplayText&gt;&lt;record&gt;&lt;rec-number&gt;17&lt;/rec-number&gt;&lt;foreign-keys&gt;&lt;key app="EN" db-id="zsx905w2ww2r0pepe0dvsse7s9edtx2atfdf" timestamp="1752155912"&gt;17&lt;/key&gt;&lt;/foreign-keys&gt;&lt;ref-type name="Journal Article"&gt;17&lt;/ref-type&gt;&lt;contributors&gt;&lt;authors&gt;&lt;author&gt;Bray, C.&lt;/author&gt;&lt;author&gt;Bell, L. N.&lt;/author&gt;&lt;author&gt;Liang, H.&lt;/author&gt;&lt;author&gt;Haykal, R.&lt;/author&gt;&lt;author&gt;Kaiksow, F.&lt;/author&gt;&lt;author&gt;Mazza, J. J.&lt;/author&gt;&lt;author&gt;Yale, S. H.&lt;/author&gt;&lt;/authors&gt;&lt;/contributors&gt;&lt;titles&gt;&lt;title&gt;Erythrocyte Sedimentation Rate and C-reactive Protein Measurements and Their Relevance in Clinical Medicine&lt;/title&gt;&lt;secondary-title&gt;WMJ&lt;/secondary-title&gt;&lt;/titles&gt;&lt;periodical&gt;&lt;full-title&gt;WMJ&lt;/full-title&gt;&lt;/periodical&gt;&lt;pages&gt;17-21&lt;/pages&gt;&lt;volume&gt;115&lt;/volume&gt;&lt;number&gt;6&lt;/number&gt;&lt;keywords&gt;&lt;keyword&gt;Biomarkers/*blood&lt;/keyword&gt;&lt;keyword&gt;*Blood Sedimentation&lt;/keyword&gt;&lt;keyword&gt;C-Reactive Protein/*metabolism&lt;/keyword&gt;&lt;keyword&gt;Decision Making&lt;/keyword&gt;&lt;keyword&gt;Humans&lt;/keyword&gt;&lt;keyword&gt;Inflammation/*blood&lt;/keyword&gt;&lt;keyword&gt;Predictive Value of Tests&lt;/keyword&gt;&lt;/keywords&gt;&lt;dates&gt;&lt;year&gt;2016&lt;/year&gt;&lt;pub-dates&gt;&lt;date&gt;Dec&lt;/date&gt;&lt;/pub-dates&gt;&lt;/dates&gt;&lt;isbn&gt;1098-1861&lt;/isbn&gt;&lt;accession-num&gt;29094869&lt;/accession-num&gt;&lt;urls&gt;&lt;/urls&gt;&lt;remote-database-provider&gt;NLM&lt;/remote-database-provider&gt;&lt;language&gt;eng&lt;/language&gt;&lt;/record&gt;&lt;/Cite&gt;&lt;/EndNote&gt;</w:instrText>
      </w:r>
      <w:r>
        <w:rPr>
          <w:lang w:bidi="en-US"/>
        </w:rPr>
        <w:fldChar w:fldCharType="separate"/>
      </w:r>
      <w:r>
        <w:rPr>
          <w:noProof/>
          <w:lang w:bidi="en-US"/>
        </w:rPr>
        <w:t>(17)</w:t>
      </w:r>
      <w:r>
        <w:rPr>
          <w:lang w:bidi="en-US"/>
        </w:rPr>
        <w:fldChar w:fldCharType="end"/>
      </w:r>
      <w:r>
        <w:rPr>
          <w:lang w:bidi="en-US"/>
        </w:rPr>
        <w:t xml:space="preserve">, fasting blood sugar (FBS) </w:t>
      </w:r>
      <w:r>
        <w:rPr>
          <w:lang w:bidi="en-US"/>
        </w:rPr>
        <w:fldChar w:fldCharType="begin"/>
      </w:r>
      <w:r>
        <w:rPr>
          <w:lang w:bidi="en-US"/>
        </w:rPr>
        <w:instrText xml:space="preserve"> ADDIN EN.CITE &lt;EndNote&gt;&lt;Cite&gt;&lt;Author&gt;Alzahrani&lt;/Author&gt;&lt;Year&gt;2020&lt;/Year&gt;&lt;RecNum&gt;18&lt;/RecNum&gt;&lt;DisplayText&gt;(18)&lt;/DisplayText&gt;&lt;record&gt;&lt;rec-number&gt;18&lt;/rec-number&gt;&lt;foreign-keys&gt;&lt;key app="EN" db-id="zsx905w2ww2r0pepe0dvsse7s9edtx2atfdf" timestamp="1752155912"&gt;18&lt;/key&gt;&lt;/foreign-keys&gt;&lt;ref-type name="Journal Article"&gt;17&lt;/ref-type&gt;&lt;contributors&gt;&lt;authors&gt;&lt;author&gt;Alzahrani, N.&lt;/author&gt;&lt;author&gt;Alouffi, S.&lt;/author&gt;&lt;author&gt;Almutairi, K.&lt;/author&gt;&lt;author&gt;Almutairi, M.&lt;/author&gt;&lt;author&gt;Almutairi, T.&lt;/author&gt;&lt;author&gt;Alwan, I. A.&lt;/author&gt;&lt;author&gt;Otaibi, N.&lt;/author&gt;&lt;author&gt;Tamimi, W.&lt;/author&gt;&lt;/authors&gt;&lt;/contributors&gt;&lt;titles&gt;&lt;title&gt;Can Fasting Blood Sugar be Used as an Indicator of Long-Term Diabetic Control Instead of Estimated Average Glucose?&lt;/title&gt;&lt;secondary-title&gt;Clin Lab&lt;/secondary-title&gt;&lt;/titles&gt;&lt;periodical&gt;&lt;full-title&gt;Clin Lab&lt;/full-title&gt;&lt;/periodical&gt;&lt;pages&gt;30-76&lt;/pages&gt;&lt;volume&gt;66&lt;/volume&gt;&lt;number&gt;12&lt;/number&gt;&lt;keywords&gt;&lt;keyword&gt;*Blood Glucose&lt;/keyword&gt;&lt;keyword&gt;*Diabetes Mellitus, Type 2/diagnosis&lt;/keyword&gt;&lt;keyword&gt;Fasting&lt;/keyword&gt;&lt;keyword&gt;*Glycated Hemoglobin/analysis&lt;/keyword&gt;&lt;keyword&gt;Humans&lt;/keyword&gt;&lt;keyword&gt;Japan&lt;/keyword&gt;&lt;/keywords&gt;&lt;dates&gt;&lt;year&gt;2020&lt;/year&gt;&lt;pub-dates&gt;&lt;date&gt;Dec 1&lt;/date&gt;&lt;/pub-dates&gt;&lt;/dates&gt;&lt;isbn&gt;1433-6510 (Print)&amp;#xD;1433-6510&lt;/isbn&gt;&lt;accession-num&gt;33337826&lt;/accession-num&gt;&lt;urls&gt;&lt;/urls&gt;&lt;electronic-resource-num&gt;10.7754/Clin.Lab.2020.200324&lt;/electronic-resource-num&gt;&lt;remote-database-provider&gt;NLM&lt;/remote-database-provider&gt;&lt;language&gt;eng&lt;/language&gt;&lt;/record&gt;&lt;/Cite&gt;&lt;/EndNote&gt;</w:instrText>
      </w:r>
      <w:r>
        <w:rPr>
          <w:lang w:bidi="en-US"/>
        </w:rPr>
        <w:fldChar w:fldCharType="separate"/>
      </w:r>
      <w:r>
        <w:rPr>
          <w:noProof/>
          <w:lang w:bidi="en-US"/>
        </w:rPr>
        <w:t>(18)</w:t>
      </w:r>
      <w:r>
        <w:rPr>
          <w:lang w:bidi="en-US"/>
        </w:rPr>
        <w:fldChar w:fldCharType="end"/>
      </w:r>
      <w:r>
        <w:rPr>
          <w:lang w:bidi="en-US"/>
        </w:rPr>
        <w:t xml:space="preserve">. </w:t>
      </w:r>
      <w:r w:rsidR="004B37AC" w:rsidRPr="004B37AC">
        <w:rPr>
          <w:lang w:bidi="en-US"/>
        </w:rPr>
        <w:t xml:space="preserve">Liver profile assays encompass the following: </w:t>
      </w:r>
      <w:r w:rsidR="00B71844" w:rsidRPr="00B71844">
        <w:rPr>
          <w:lang w:bidi="en-US"/>
        </w:rPr>
        <w:t>alanine aminotransferase (ALT)</w:t>
      </w:r>
      <w:r w:rsidR="00B71844">
        <w:rPr>
          <w:lang w:bidi="en-US"/>
        </w:rPr>
        <w:t>,</w:t>
      </w:r>
      <w:r w:rsidR="00B71844" w:rsidRPr="00B71844">
        <w:t xml:space="preserve"> </w:t>
      </w:r>
      <w:r w:rsidR="00B71844" w:rsidRPr="00B71844">
        <w:rPr>
          <w:lang w:bidi="en-US"/>
        </w:rPr>
        <w:t>serum bilirubin (total and direct),</w:t>
      </w:r>
      <w:r w:rsidR="00B71844" w:rsidRPr="00B71844">
        <w:t xml:space="preserve"> </w:t>
      </w:r>
      <w:r w:rsidR="00B71844" w:rsidRPr="00B71844">
        <w:rPr>
          <w:lang w:bidi="en-US"/>
        </w:rPr>
        <w:t>and</w:t>
      </w:r>
      <w:r w:rsidR="00B71844">
        <w:rPr>
          <w:lang w:bidi="en-US"/>
        </w:rPr>
        <w:t xml:space="preserve"> </w:t>
      </w:r>
      <w:r w:rsidR="004B37AC" w:rsidRPr="004B37AC">
        <w:rPr>
          <w:lang w:bidi="en-US"/>
        </w:rPr>
        <w:t xml:space="preserve">aspartate aminotransferase (AST), </w:t>
      </w:r>
      <w:r>
        <w:rPr>
          <w:lang w:bidi="en-US"/>
        </w:rPr>
        <w:fldChar w:fldCharType="begin"/>
      </w:r>
      <w:r>
        <w:rPr>
          <w:lang w:bidi="en-US"/>
        </w:rPr>
        <w:instrText xml:space="preserve"> ADDIN EN.CITE &lt;EndNote&gt;&lt;Cite&gt;&lt;Author&gt;Gu&lt;/Author&gt;&lt;Year&gt;2018&lt;/Year&gt;&lt;RecNum&gt;19&lt;/RecNum&gt;&lt;DisplayText&gt;(19)&lt;/DisplayText&gt;&lt;record&gt;&lt;rec-number&gt;19&lt;/rec-number&gt;&lt;foreign-keys&gt;&lt;key app="EN" db-id="zsx905w2ww2r0pepe0dvsse7s9edtx2atfdf" timestamp="1752155912"&gt;19&lt;/key&gt;&lt;/foreign-keys&gt;&lt;ref-type name="Journal Article"&gt;17&lt;/ref-type&gt;&lt;contributors&gt;&lt;authors&gt;&lt;author&gt;Gu, D.&lt;/author&gt;&lt;author&gt;Wang, Y.&lt;/author&gt;&lt;author&gt;Ren, B.&lt;/author&gt;&lt;author&gt;Wang, L.&lt;/author&gt;&lt;author&gt;Zhang, K.&lt;/author&gt;&lt;author&gt;Yuan, Y.&lt;/author&gt;&lt;/authors&gt;&lt;/contributors&gt;&lt;titles&gt;&lt;title&gt;Comparison of Three Routine Methods for the Measurement of Serum Bilirubin in a China Laboratory&lt;/title&gt;&lt;secondary-title&gt;Clin Lab&lt;/secondary-title&gt;&lt;/titles&gt;&lt;periodical&gt;&lt;full-title&gt;Clin Lab&lt;/full-title&gt;&lt;/periodical&gt;&lt;pages&gt;1485-1490&lt;/pages&gt;&lt;volume&gt;64&lt;/volume&gt;&lt;number&gt;9&lt;/number&gt;&lt;keywords&gt;&lt;keyword&gt;Bias&lt;/keyword&gt;&lt;keyword&gt;Bilirubin/*blood&lt;/keyword&gt;&lt;keyword&gt;Biomarkers/blood&lt;/keyword&gt;&lt;keyword&gt;Blood Chemical Analysis/*methods/standards&lt;/keyword&gt;&lt;keyword&gt;Calibration&lt;/keyword&gt;&lt;keyword&gt;China&lt;/keyword&gt;&lt;keyword&gt;Humans&lt;/keyword&gt;&lt;keyword&gt;Predictive Value of Tests&lt;/keyword&gt;&lt;keyword&gt;Reference Standards&lt;/keyword&gt;&lt;keyword&gt;Reproducibility of Results&lt;/keyword&gt;&lt;/keywords&gt;&lt;dates&gt;&lt;year&gt;2018&lt;/year&gt;&lt;pub-dates&gt;&lt;date&gt;Sep 1&lt;/date&gt;&lt;/pub-dates&gt;&lt;/dates&gt;&lt;isbn&gt;1433-6510 (Print)&amp;#xD;1433-6510&lt;/isbn&gt;&lt;accession-num&gt;30274008&lt;/accession-num&gt;&lt;urls&gt;&lt;/urls&gt;&lt;electronic-resource-num&gt;10.7754/Clin.Lab.2018.180333&lt;/electronic-resource-num&gt;&lt;remote-database-provider&gt;NLM&lt;/remote-database-provider&gt;&lt;language&gt;eng&lt;/language&gt;&lt;/record&gt;&lt;/Cite&gt;&lt;/EndNote&gt;</w:instrText>
      </w:r>
      <w:r>
        <w:rPr>
          <w:lang w:bidi="en-US"/>
        </w:rPr>
        <w:fldChar w:fldCharType="separate"/>
      </w:r>
      <w:r>
        <w:rPr>
          <w:noProof/>
          <w:lang w:bidi="en-US"/>
        </w:rPr>
        <w:t>(19)</w:t>
      </w:r>
      <w:r>
        <w:rPr>
          <w:lang w:bidi="en-US"/>
        </w:rPr>
        <w:fldChar w:fldCharType="end"/>
      </w:r>
      <w:r>
        <w:rPr>
          <w:lang w:bidi="en-US"/>
        </w:rPr>
        <w:t xml:space="preserve">, serum albumin </w:t>
      </w:r>
      <w:r>
        <w:rPr>
          <w:lang w:bidi="en-US"/>
        </w:rPr>
        <w:fldChar w:fldCharType="begin"/>
      </w:r>
      <w:r>
        <w:rPr>
          <w:lang w:bidi="en-US"/>
        </w:rPr>
        <w:instrText xml:space="preserve"> ADDIN EN.CITE &lt;EndNote&gt;&lt;Cite&gt;&lt;Author&gt;van Schrojenstein Lantman&lt;/Author&gt;&lt;Year&gt;2022&lt;/Year&gt;&lt;RecNum&gt;20&lt;/RecNum&gt;&lt;DisplayText&gt;(20)&lt;/DisplayText&gt;&lt;record&gt;&lt;rec-number&gt;20&lt;/rec-number&gt;&lt;foreign-keys&gt;&lt;key app="EN" db-id="zsx905w2ww2r0pepe0dvsse7s9edtx2atfdf" timestamp="1752155912"&gt;20&lt;/key&gt;&lt;/foreign-keys&gt;&lt;ref-type name="Journal Article"&gt;17&lt;/ref-type&gt;&lt;contributors&gt;&lt;authors&gt;&lt;author&gt;van Schrojenstein Lantman, M.&lt;/author&gt;&lt;author&gt;van de Logt, A. E.&lt;/author&gt;&lt;author&gt;Thelen, M.&lt;/author&gt;&lt;author&gt;Wetzels, J. F.&lt;/author&gt;&lt;author&gt;van Berkel, M.&lt;/author&gt;&lt;/authors&gt;&lt;/contributors&gt;&lt;auth-address&gt;Department of Laboratory Medicine, Radboud University Medical Centre, Nijmegen, The Netherlands.&amp;#xD;Department of Laboratory for Clinical Chemistry, Part of Result Laboratorium, Amphia Hospital, Breda, The Netherlands.&amp;#xD;SKML, Organisation for Quality Assurance of Medical Laboratory Diagnostics, Radboud University, Nijmegen, The Netherlands.&amp;#xD;Department of Nephrology, Radboud University Medical Centre, Radboud Institute for Health Sciences, Nijmegen, The Netherlands.&lt;/auth-address&gt;&lt;titles&gt;&lt;title&gt;Serum albumin measurement in nephrology: room for improvement&lt;/title&gt;&lt;secondary-title&gt;Nephrol Dial Transplant&lt;/secondary-title&gt;&lt;/titles&gt;&lt;periodical&gt;&lt;full-title&gt;Nephrol Dial Transplant&lt;/full-title&gt;&lt;/periodical&gt;&lt;pages&gt;1792-1799&lt;/pages&gt;&lt;volume&gt;37&lt;/volume&gt;&lt;number&gt;10&lt;/number&gt;&lt;keywords&gt;&lt;keyword&gt;Clinical Decision-Making&lt;/keyword&gt;&lt;keyword&gt;Humans&lt;/keyword&gt;&lt;keyword&gt;*Nephrology&lt;/keyword&gt;&lt;keyword&gt;Serum Albumin&lt;/keyword&gt;&lt;keyword&gt;Uncertainty&lt;/keyword&gt;&lt;keyword&gt;clinical decision making&lt;/keyword&gt;&lt;keyword&gt;clinical laboratory techniques&lt;/keyword&gt;&lt;keyword&gt;measurement uncertainty&lt;/keyword&gt;&lt;keyword&gt;nephrology&lt;/keyword&gt;&lt;/keywords&gt;&lt;dates&gt;&lt;year&gt;2022&lt;/year&gt;&lt;pub-dates&gt;&lt;date&gt;Sep 22&lt;/date&gt;&lt;/pub-dates&gt;&lt;/dates&gt;&lt;isbn&gt;0931-0509&lt;/isbn&gt;&lt;accession-num&gt;33367921&lt;/accession-num&gt;&lt;urls&gt;&lt;/urls&gt;&lt;electronic-resource-num&gt;10.1093/ndt/gfaa375&lt;/electronic-resource-num&gt;&lt;remote-database-provider&gt;NLM&lt;/remote-database-provider&gt;&lt;language&gt;eng&lt;/language&gt;&lt;/record&gt;&lt;/Cite&gt;&lt;/EndNote&gt;</w:instrText>
      </w:r>
      <w:r>
        <w:rPr>
          <w:lang w:bidi="en-US"/>
        </w:rPr>
        <w:fldChar w:fldCharType="separate"/>
      </w:r>
      <w:r>
        <w:rPr>
          <w:noProof/>
          <w:lang w:bidi="en-US"/>
        </w:rPr>
        <w:t>(20)</w:t>
      </w:r>
      <w:r>
        <w:rPr>
          <w:lang w:bidi="en-US"/>
        </w:rPr>
        <w:fldChar w:fldCharType="end"/>
      </w:r>
      <w:r>
        <w:rPr>
          <w:lang w:bidi="en-US"/>
        </w:rPr>
        <w:t xml:space="preserve">, </w:t>
      </w:r>
      <w:r w:rsidR="00A6354C" w:rsidRPr="00A6354C">
        <w:rPr>
          <w:lang w:bidi="en-US"/>
        </w:rPr>
        <w:t>thrombin time (PT), INR.  Viral markers, including HCV Ab, HBs Ag, AFP level, and soluble platelet-derived growth factor receptor-beta (</w:t>
      </w:r>
      <w:proofErr w:type="spellStart"/>
      <w:r w:rsidR="00A6354C" w:rsidRPr="00A6354C">
        <w:rPr>
          <w:lang w:bidi="en-US"/>
        </w:rPr>
        <w:t>sPDGFR</w:t>
      </w:r>
      <w:proofErr w:type="spellEnd"/>
      <w:r w:rsidR="00A6354C" w:rsidRPr="00A6354C">
        <w:rPr>
          <w:lang w:bidi="en-US"/>
        </w:rPr>
        <w:t>-β), are included in the kidney function test, which includes serum creatinine and serum urea.</w:t>
      </w:r>
    </w:p>
    <w:p w14:paraId="5749C800" w14:textId="77777777" w:rsidR="007D0E1B" w:rsidRDefault="00B71844" w:rsidP="00FD23A0">
      <w:pPr>
        <w:pStyle w:val="P"/>
        <w:rPr>
          <w:lang w:bidi="en-US"/>
        </w:rPr>
      </w:pPr>
      <w:r w:rsidRPr="00B71844">
        <w:rPr>
          <w:lang w:bidi="en-US"/>
        </w:rPr>
        <w:t xml:space="preserve">An antibody that is specific to PDGFR-β has been pre-coated on a microtiter plate in this preparation.    </w:t>
      </w:r>
      <w:r w:rsidR="00751757" w:rsidRPr="00751757">
        <w:rPr>
          <w:lang w:bidi="en-US"/>
        </w:rPr>
        <w:t>A biotin-conjugated antibody formulation that is specific to PDGFR-β is subsequently added to the appropriate microtiter plate wells following the introduction of standards or samples</w:t>
      </w:r>
      <w:r w:rsidR="00FD23A0" w:rsidRPr="00FD23A0">
        <w:rPr>
          <w:lang w:bidi="en-US"/>
        </w:rPr>
        <w:t>. Each microplate well must be incubated following the addition of Avidin conjugated to Horseradish Peroxidase.  Color changes will only occur in the wells that contain PDGFR-β, biotin-conjugated antibody, and enzyme-conjugated Avidin following the introduction of the TMB substrate solution.</w:t>
      </w:r>
      <w:r w:rsidR="00FD23A0">
        <w:rPr>
          <w:lang w:bidi="en-US"/>
        </w:rPr>
        <w:t xml:space="preserve"> </w:t>
      </w:r>
      <w:r w:rsidR="00FD23A0" w:rsidRPr="00FD23A0">
        <w:rPr>
          <w:lang w:bidi="en-US"/>
        </w:rPr>
        <w:t xml:space="preserve">The color change is measured spectrophotometrically at a wavelength of 450nm ± 10nm after the enzyme-substrate reaction has been terminated by the addition of </w:t>
      </w:r>
      <w:proofErr w:type="spellStart"/>
      <w:r w:rsidR="00FD23A0" w:rsidRPr="00FD23A0">
        <w:rPr>
          <w:lang w:bidi="en-US"/>
        </w:rPr>
        <w:t>sulphuric</w:t>
      </w:r>
      <w:proofErr w:type="spellEnd"/>
      <w:r w:rsidR="00FD23A0" w:rsidRPr="00FD23A0">
        <w:rPr>
          <w:lang w:bidi="en-US"/>
        </w:rPr>
        <w:t xml:space="preserve"> acid solution.       The O.D. of the samples is compared using the standard curve to determine the concentration of PDGFR-β in the samples.</w:t>
      </w:r>
    </w:p>
    <w:p w14:paraId="64180689" w14:textId="4A69C8D1" w:rsidR="00751757" w:rsidRDefault="00751757" w:rsidP="00FD23A0">
      <w:pPr>
        <w:pStyle w:val="P"/>
        <w:rPr>
          <w:lang w:bidi="en-US"/>
        </w:rPr>
      </w:pPr>
      <w:r w:rsidRPr="00751757">
        <w:rPr>
          <w:lang w:bidi="en-US"/>
        </w:rPr>
        <w:t xml:space="preserve">All reagents, samples, and standards are prepared.   Each well is supplemented with 100µL of either the standard or sample.   Incubate at 37°C for 90 minutes.   100 µL of Detection Solution A is aspirated and incorporated.   The reaction is incubated at 37°C for 45 minutes, and then 100µL of Detection Solution B is added. The reaction is then aspirated and rinsed three times.   Placed in an incubator at 37°C for 45 minutes.   We performed five cleanses </w:t>
      </w:r>
      <w:r w:rsidRPr="00751757">
        <w:rPr>
          <w:lang w:bidi="en-US"/>
        </w:rPr>
        <w:lastRenderedPageBreak/>
        <w:t>and aspirations.   Quantities of 90 µL of substrate solution are introduced.   15-25 minutes of incubation at 37°C.   A Stop Solution of 50 µL is included.   read immediately at 450 nm.</w:t>
      </w:r>
    </w:p>
    <w:p w14:paraId="435E6A18" w14:textId="08BF9A8D" w:rsidR="00C41BE6" w:rsidRDefault="003568A7">
      <w:pPr>
        <w:pStyle w:val="P"/>
        <w:rPr>
          <w:b/>
          <w:bCs/>
          <w:lang w:bidi="en-US"/>
        </w:rPr>
      </w:pPr>
      <w:r>
        <w:rPr>
          <w:b/>
          <w:bCs/>
          <w:lang w:bidi="en-US"/>
        </w:rPr>
        <w:t xml:space="preserve">Calculation of APAC score: </w:t>
      </w:r>
      <w:r w:rsidR="00A6354C" w:rsidRPr="00A6354C">
        <w:rPr>
          <w:lang w:bidi="en-US"/>
        </w:rPr>
        <w:t>Score for APAC = (Age [years] × 0.20480)  − (log10(</w:t>
      </w:r>
      <w:proofErr w:type="spellStart"/>
      <w:r w:rsidR="00A6354C" w:rsidRPr="00A6354C">
        <w:rPr>
          <w:lang w:bidi="en-US"/>
        </w:rPr>
        <w:t>sPDGFR</w:t>
      </w:r>
      <w:proofErr w:type="spellEnd"/>
      <w:r w:rsidR="00A6354C" w:rsidRPr="00A6354C">
        <w:rPr>
          <w:lang w:bidi="en-US"/>
        </w:rPr>
        <w:t>-β [pg/mL]) × 1.98684) + (log10(AFP [ng/mL]) ×2.45657)  - (Creatinine [mg/dL] × 2.46891) - 4.36493</w:t>
      </w:r>
      <w:r w:rsidR="00751757">
        <w:rPr>
          <w:lang w:bidi="en-US"/>
        </w:rPr>
        <w:t xml:space="preserve"> </w:t>
      </w:r>
      <w:r>
        <w:rPr>
          <w:lang w:bidi="en-US"/>
        </w:rPr>
        <w:fldChar w:fldCharType="begin"/>
      </w:r>
      <w:r>
        <w:rPr>
          <w:lang w:bidi="en-US"/>
        </w:rPr>
        <w:instrText xml:space="preserve"> ADDIN EN.CITE </w:instrText>
      </w:r>
      <w:r>
        <w:rPr>
          <w:lang w:bidi="en-US"/>
        </w:rPr>
        <w:fldChar w:fldCharType="begin"/>
      </w:r>
      <w:r>
        <w:rPr>
          <w:lang w:bidi="en-US"/>
        </w:rPr>
        <w:instrText xml:space="preserve"> ADDIN EN.CITE.DATA </w:instrText>
      </w:r>
      <w:r>
        <w:rPr>
          <w:lang w:bidi="en-US"/>
        </w:rPr>
        <w:fldChar w:fldCharType="end"/>
      </w:r>
      <w:r>
        <w:rPr>
          <w:lang w:bidi="en-US"/>
        </w:rPr>
        <w:fldChar w:fldCharType="separate"/>
      </w:r>
      <w:r>
        <w:rPr>
          <w:noProof/>
          <w:lang w:bidi="en-US"/>
        </w:rPr>
        <w:t>(12)</w:t>
      </w:r>
      <w:r>
        <w:rPr>
          <w:lang w:bidi="en-US"/>
        </w:rPr>
        <w:fldChar w:fldCharType="end"/>
      </w:r>
      <w:r>
        <w:rPr>
          <w:lang w:bidi="en-US"/>
        </w:rPr>
        <w:t>.</w:t>
      </w:r>
    </w:p>
    <w:p w14:paraId="1819021F" w14:textId="34EB313A" w:rsidR="00C41BE6" w:rsidRDefault="007D0E1B">
      <w:pPr>
        <w:pStyle w:val="P"/>
      </w:pPr>
      <w:r w:rsidRPr="007D0E1B">
        <w:t>The severity of liver disease was assessed in accordance with the Child-Pugh scoring system</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(21)</w:t>
      </w:r>
      <w:r w:rsidR="003568A7">
        <w:fldChar w:fldCharType="end"/>
      </w:r>
      <w:r w:rsidR="003568A7">
        <w:t xml:space="preserve">, </w:t>
      </w:r>
      <w:r w:rsidRPr="007D0E1B">
        <w:t>The MELD index is employed to develop a model for end-stage liver disease:     The subsequent calculation is performed for each patient in accordance with the original formula of the Mayo Clinic group: The result is the product of 9.6 x loge (creatinine mg/dl), 3.8 x loge (total bilirubin mg/dl), 11.2 x loge (INR), and 6.4</w:t>
      </w:r>
      <w:r w:rsidR="003568A7">
        <w:fldChar w:fldCharType="begin"/>
      </w:r>
      <w:r w:rsidR="003568A7">
        <w:instrText xml:space="preserve"> ADDIN EN.CITE </w:instrText>
      </w:r>
      <w:r w:rsidR="003568A7">
        <w:fldChar w:fldCharType="begin"/>
      </w:r>
      <w:r w:rsidR="003568A7">
        <w:instrText xml:space="preserve"> ADDIN EN.CITE.DATA </w:instrText>
      </w:r>
      <w:r w:rsidR="003568A7">
        <w:fldChar w:fldCharType="end"/>
      </w:r>
      <w:r w:rsidR="003568A7">
        <w:fldChar w:fldCharType="separate"/>
      </w:r>
      <w:r w:rsidR="003568A7">
        <w:rPr>
          <w:noProof/>
        </w:rPr>
        <w:t>(22)</w:t>
      </w:r>
      <w:r w:rsidR="003568A7">
        <w:fldChar w:fldCharType="end"/>
      </w:r>
      <w:r w:rsidR="003568A7">
        <w:t xml:space="preserve">. </w:t>
      </w:r>
    </w:p>
    <w:p w14:paraId="12732C37" w14:textId="77777777" w:rsidR="00C41BE6" w:rsidRDefault="003568A7">
      <w:pPr>
        <w:pStyle w:val="P"/>
      </w:pPr>
      <w:r>
        <w:rPr>
          <w:b/>
          <w:bCs/>
        </w:rPr>
        <w:t>Imaging study:</w:t>
      </w:r>
      <w:r>
        <w:t xml:space="preserve"> Abdominal ultrasonography: To confirm cirrhosis characters and asses hepatic focal lesion (site, size, shape, number, </w:t>
      </w:r>
      <w:proofErr w:type="spellStart"/>
      <w:r>
        <w:t>echogencity</w:t>
      </w:r>
      <w:proofErr w:type="spellEnd"/>
      <w:r>
        <w:t xml:space="preserve">, hallo sign) </w:t>
      </w:r>
      <w:r>
        <w:fldChar w:fldCharType="begin"/>
      </w:r>
      <w:r>
        <w:instrText xml:space="preserve"> ADDIN EN.CITE </w:instrText>
      </w:r>
      <w:r>
        <w:fldChar w:fldCharType="begin"/>
      </w:r>
      <w:r>
        <w:instrText xml:space="preserve"> ADDIN EN.CITE.DATA </w:instrText>
      </w:r>
      <w:r>
        <w:fldChar w:fldCharType="end"/>
      </w:r>
      <w:r>
        <w:fldChar w:fldCharType="separate"/>
      </w:r>
      <w:r>
        <w:rPr>
          <w:noProof/>
        </w:rPr>
        <w:t>(14)</w:t>
      </w:r>
      <w:r>
        <w:fldChar w:fldCharType="end"/>
      </w:r>
      <w:r>
        <w:t xml:space="preserve">. Doppler U/S to detect : Intra lesional signal and around the tumor. Patency of portal vein (PV). Triphasic abdominal spiral CT: To confirm  the finding of US and for studying the suggestive criteria for HCC </w:t>
      </w:r>
      <w:r>
        <w:fldChar w:fldCharType="begin"/>
      </w:r>
      <w:r>
        <w:instrText xml:space="preserve"> ADDIN EN.CITE </w:instrText>
      </w:r>
      <w:r>
        <w:fldChar w:fldCharType="begin"/>
      </w:r>
      <w:r>
        <w:instrText xml:space="preserve"> ADDIN EN.CITE.DATA </w:instrText>
      </w:r>
      <w:r>
        <w:fldChar w:fldCharType="end"/>
      </w:r>
      <w:r>
        <w:fldChar w:fldCharType="separate"/>
      </w:r>
      <w:r>
        <w:rPr>
          <w:noProof/>
        </w:rPr>
        <w:t>(14)</w:t>
      </w:r>
      <w:r>
        <w:fldChar w:fldCharType="end"/>
      </w:r>
      <w:r>
        <w:t xml:space="preserve">.            </w:t>
      </w:r>
    </w:p>
    <w:p w14:paraId="6774025C" w14:textId="77777777" w:rsidR="00C41BE6" w:rsidRDefault="003568A7">
      <w:pPr>
        <w:pStyle w:val="P"/>
        <w:rPr>
          <w:b/>
          <w:bCs/>
        </w:rPr>
      </w:pPr>
      <w:r>
        <w:rPr>
          <w:b/>
          <w:bCs/>
        </w:rPr>
        <w:t xml:space="preserve">Statistical analysis </w:t>
      </w:r>
    </w:p>
    <w:p w14:paraId="688B6F17" w14:textId="62B0828D" w:rsidR="00C41BE6" w:rsidRDefault="00C853E0">
      <w:pPr>
        <w:pStyle w:val="P"/>
      </w:pPr>
      <w:r w:rsidRPr="00C853E0">
        <w:t xml:space="preserve">Statistical Package for the Social Sciences from IBM (2017, IBM Corp.) was used to clean, organize, and compute the data.   Version 25.0 of IBM SPSS Statistics for Windows was published by IBM Corp. in Armonk, New York.   Numeric representations of concepts:   The following metrics were used to display quantitative data: median, range, standard deviation (± SD), and mean.   For non-numerical data, percentages and frequencies were used as representations.   Normalcy in statistical data.   To check for properly distributed data, we used the Shapiro-Wilk test.   The following tests may be used for analysis: ROC curve, </w:t>
      </w:r>
      <w:r w:rsidR="007D0E1B" w:rsidRPr="007D0E1B">
        <w:t>A regression analysis, correlation analysis, chi-square test, Student's t-test, and Kruskal-Wallis test.    One may obtain a comprehensive understanding of the OR's clarity by employing the 95% confidence interval.    A relatively exact OR is indicated by a small CI, whereas an imprecise OR is indicated by a large CI.    The probability of the results:  We refer to a p-value as statistically significant when the 95% confidence interval is less than 0.05</w:t>
      </w:r>
      <w:r>
        <w:t xml:space="preserve"> </w:t>
      </w:r>
      <w:r w:rsidR="003568A7">
        <w:fldChar w:fldCharType="begin"/>
      </w:r>
      <w:r w:rsidR="003568A7">
        <w:instrText xml:space="preserve"> ADDIN EN.CITE &lt;EndNote&gt;&lt;Cite&gt;&lt;Author&gt;Manolov&lt;/Author&gt;&lt;Year&gt;2024&lt;/Year&gt;&lt;RecNum&gt;23&lt;/RecNum&gt;&lt;DisplayText&gt;(23)&lt;/DisplayText&gt;&lt;record&gt;&lt;rec-number&gt;23&lt;/rec-number&gt;&lt;foreign-keys&gt;&lt;key app="EN" db-id="zsx905w2ww2r0pepe0dvsse7s9edtx2atfdf" timestamp="1752155912"&gt;23&lt;/key&gt;&lt;/foreign-keys&gt;&lt;ref-type name="Journal Article"&gt;17&lt;/ref-type&gt;&lt;contributors&gt;&lt;authors&gt;&lt;author&gt;Manolov, Rumen&lt;/author&gt;&lt;author&gt;Rochat, Lucien&lt;/author&gt;&lt;/authors&gt;&lt;/contributors&gt;&lt;titles&gt;&lt;title&gt;Analyzing data in single-case experimental designs: Objectives and available software options&lt;/title&gt;&lt;secondary-title&gt;J Behav Cogn Ther&lt;/secondary-title&gt;&lt;/titles&gt;&lt;periodical&gt;&lt;full-title&gt;J Behav Cogn Ther&lt;/full-title&gt;&lt;/periodical&gt;&lt;pages&gt;10-51&lt;/pages&gt;&lt;volume&gt;34&lt;/volume&gt;&lt;number&gt;4&lt;/number&gt;&lt;keywords&gt;&lt;keyword&gt;Single-case experimental designs&lt;/keyword&gt;&lt;keyword&gt;Data analysis&lt;/keyword&gt;&lt;keyword&gt;Software&lt;/keyword&gt;&lt;/keywords&gt;&lt;dates&gt;&lt;year&gt;2024&lt;/year&gt;&lt;pub-dates&gt;&lt;date&gt;2024/12/01/&lt;/date&gt;&lt;/pub-dates&gt;&lt;/dates&gt;&lt;isbn&gt;2589-9791&lt;/isbn&gt;&lt;urls&gt;&lt;related-urls&gt;&lt;url&gt;https://www.sciencedirect.com/science/article/pii/S2589979124000295&lt;/url&gt;&lt;/related-urls&gt;&lt;/urls&gt;&lt;electronic-resource-num&gt;https://doi.org/10.1016/j.jbct.2024.100511&lt;/electronic-resource-num&gt;&lt;/record&gt;&lt;/Cite&gt;&lt;/EndNote&gt;</w:instrText>
      </w:r>
      <w:r w:rsidR="003568A7">
        <w:fldChar w:fldCharType="separate"/>
      </w:r>
      <w:r w:rsidR="003568A7">
        <w:rPr>
          <w:noProof/>
        </w:rPr>
        <w:t>(23)</w:t>
      </w:r>
      <w:r w:rsidR="003568A7">
        <w:fldChar w:fldCharType="end"/>
      </w:r>
      <w:r w:rsidR="003568A7">
        <w:t>.</w:t>
      </w:r>
    </w:p>
    <w:p w14:paraId="4831C63B" w14:textId="77777777" w:rsidR="00C41BE6" w:rsidRDefault="003568A7">
      <w:pPr>
        <w:spacing w:before="240" w:after="0" w:line="240" w:lineRule="auto"/>
        <w:jc w:val="lowKashida"/>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Results</w:t>
      </w:r>
    </w:p>
    <w:p w14:paraId="23A566A0" w14:textId="77777777" w:rsidR="00CD654F" w:rsidRDefault="003568A7" w:rsidP="00CD654F">
      <w:pPr>
        <w:pStyle w:val="P"/>
        <w:rPr>
          <w:lang w:bidi="ar-EG"/>
        </w:rPr>
      </w:pPr>
      <w:bookmarkStart w:id="0" w:name="_Ref132084226"/>
      <w:bookmarkStart w:id="1" w:name="_Ref132086909"/>
      <w:r>
        <w:rPr>
          <w:b/>
          <w:bCs/>
          <w:lang w:bidi="ar-EG"/>
        </w:rPr>
        <w:t xml:space="preserve">Table 1 </w:t>
      </w:r>
      <w:bookmarkStart w:id="2" w:name="_Hlk203061213"/>
      <w:r w:rsidR="00CD654F" w:rsidRPr="00CD654F">
        <w:rPr>
          <w:lang w:bidi="ar-EG"/>
        </w:rPr>
        <w:t>The majority of the patients analyzed were male (55%), and the mean age of cirrhotic patients without HCC was demonstrably higher.</w:t>
      </w:r>
    </w:p>
    <w:p w14:paraId="1C7D5C27" w14:textId="3F810D8D" w:rsidR="00CD654F" w:rsidRDefault="003568A7" w:rsidP="00CD654F">
      <w:pPr>
        <w:pStyle w:val="P"/>
        <w:rPr>
          <w:lang w:bidi="ar-EG"/>
        </w:rPr>
      </w:pPr>
      <w:r>
        <w:rPr>
          <w:b/>
          <w:bCs/>
          <w:lang w:val="en-GB" w:eastAsia="en-GB" w:bidi="ar-EG"/>
        </w:rPr>
        <w:t>Table 2</w:t>
      </w:r>
      <w:bookmarkEnd w:id="2"/>
      <w:r>
        <w:rPr>
          <w:b/>
          <w:bCs/>
          <w:lang w:val="en-GB" w:eastAsia="en-GB" w:bidi="ar-EG"/>
        </w:rPr>
        <w:t xml:space="preserve"> </w:t>
      </w:r>
      <w:r w:rsidR="007D0E1B" w:rsidRPr="007D0E1B">
        <w:rPr>
          <w:lang w:bidi="ar-EG"/>
        </w:rPr>
        <w:t>Patients with HCC who were cirrhotic exhibited significantly higher mean ESR and AFP values than those without HCC (mean=80.85 vs 22.63 mm/</w:t>
      </w:r>
      <w:proofErr w:type="spellStart"/>
      <w:r w:rsidR="007D0E1B" w:rsidRPr="007D0E1B">
        <w:rPr>
          <w:lang w:bidi="ar-EG"/>
        </w:rPr>
        <w:t>hr</w:t>
      </w:r>
      <w:proofErr w:type="spellEnd"/>
      <w:r w:rsidR="007D0E1B" w:rsidRPr="007D0E1B">
        <w:rPr>
          <w:lang w:bidi="ar-EG"/>
        </w:rPr>
        <w:t>; p&lt;0.001) and (319.3 vs 16.19 ng/ml), respectively. Furthermore, it was observed that the cirrhotic patients with HCC and the cirrhotic patients without HCC groups exhibited a highly statistically significant difference in ALT and AST levels.</w:t>
      </w:r>
      <w:r w:rsidR="007D0E1B">
        <w:rPr>
          <w:lang w:bidi="ar-EG"/>
        </w:rPr>
        <w:t xml:space="preserve"> </w:t>
      </w:r>
      <w:r w:rsidR="00CD654F" w:rsidRPr="00CD654F">
        <w:rPr>
          <w:lang w:bidi="ar-EG"/>
        </w:rPr>
        <w:t>The mean values of HCC patients who were cirrhotic were elevated to 57.78u/l and 55.10u/l, respectively.     In terms of other parameters, the two groups did not exhibit any significant differences.</w:t>
      </w:r>
    </w:p>
    <w:p w14:paraId="7C921862" w14:textId="705F1691" w:rsidR="00A6354C" w:rsidRDefault="003568A7" w:rsidP="00CD654F">
      <w:pPr>
        <w:pStyle w:val="P"/>
        <w:rPr>
          <w:lang w:val="en-GB" w:bidi="ar-EG"/>
        </w:rPr>
      </w:pPr>
      <w:r>
        <w:rPr>
          <w:b/>
          <w:bCs/>
          <w:lang w:val="en-GB" w:bidi="ar-EG"/>
        </w:rPr>
        <w:lastRenderedPageBreak/>
        <w:t>Figure 1</w:t>
      </w:r>
      <w:r>
        <w:rPr>
          <w:lang w:val="en-GB" w:bidi="ar-EG"/>
        </w:rPr>
        <w:t xml:space="preserve"> </w:t>
      </w:r>
      <w:r w:rsidR="007D0E1B" w:rsidRPr="007D0E1B">
        <w:rPr>
          <w:lang w:val="en-GB" w:bidi="ar-EG"/>
        </w:rPr>
        <w:t>shows that there were significant disparities between the two groups, with a majority of cirrhotic patients without HCC (42.5% of the patients) and 82.5% of the patients with HCC falling into child Pugh Class B. The difference between the two groups was statistically significant (p=0.001).   When comparing the two groups' child and MELD scores, no statistically significant differences were found.</w:t>
      </w:r>
    </w:p>
    <w:p w14:paraId="347AB3C4" w14:textId="6832B68C" w:rsidR="00C41BE6" w:rsidRDefault="003568A7" w:rsidP="00A6354C">
      <w:pPr>
        <w:pStyle w:val="P"/>
      </w:pPr>
      <w:r>
        <w:rPr>
          <w:b/>
          <w:bCs/>
          <w:lang w:bidi="ar-EG"/>
        </w:rPr>
        <w:t>Figure 2</w:t>
      </w:r>
      <w:r>
        <w:rPr>
          <w:lang w:bidi="ar-EG"/>
        </w:rPr>
        <w:t xml:space="preserve"> </w:t>
      </w:r>
      <w:r>
        <w:rPr>
          <w:lang w:val="en-GB" w:bidi="ar-EG"/>
        </w:rPr>
        <w:t>Regrading Barcelona staging system, the majority of cirrhotic patients with HCC exhibited stage A (87.5%), and only 12.5% had stage D. While, stage B and C were not found in the studied group.</w:t>
      </w:r>
    </w:p>
    <w:p w14:paraId="33F29A5A" w14:textId="0BFAF959" w:rsidR="007D0E1B" w:rsidRDefault="003568A7" w:rsidP="007D0E1B">
      <w:pPr>
        <w:pStyle w:val="P"/>
      </w:pPr>
      <w:r>
        <w:rPr>
          <w:b/>
          <w:bCs/>
          <w:lang w:val="en-GB"/>
        </w:rPr>
        <w:t>Table 3</w:t>
      </w:r>
      <w:r>
        <w:t xml:space="preserve"> </w:t>
      </w:r>
      <w:r w:rsidR="007D0E1B" w:rsidRPr="007D0E1B">
        <w:t xml:space="preserve">According to the findings, the group of cirrhosis patients without HCC had a </w:t>
      </w:r>
      <w:r w:rsidR="00F43CFF" w:rsidRPr="007D0E1B">
        <w:t>significantly</w:t>
      </w:r>
      <w:r w:rsidR="007D0E1B" w:rsidRPr="007D0E1B">
        <w:t xml:space="preserve"> higher PDGFR-β level compared to the group of cirrhosis patients with HCC (mean = 1186.4 ± 544.1 vs. 565.8 ± 297.7 pg/ml, p&lt;0.001).    Furthermore, there was a significant difference in the APAC scores between the cirrhotic patients with and without HCC; the former had a mean of 6.32 ± 3.17 while the latter had a mean of 1.67 ± 1.90 (p&lt;0.001).</w:t>
      </w:r>
    </w:p>
    <w:p w14:paraId="1439449B" w14:textId="126B2838" w:rsidR="00C41BE6" w:rsidRDefault="00751757" w:rsidP="007D0E1B">
      <w:pPr>
        <w:pStyle w:val="P"/>
      </w:pPr>
      <w:r w:rsidRPr="00751757">
        <w:rPr>
          <w:lang w:bidi="ar-EG"/>
        </w:rPr>
        <w:t>ALT levels and maximal diameter focal lesion exhibited highly statistically significant negative correlations with PDGFR-β in the group of cirrhotic patients with HCC.   In addition, the APAC score was found to be positively correlated with the maximal diameter focal lesion and ALT levels, whereas the APAC score was significantly negatively correlated with PDGFR-β</w:t>
      </w:r>
      <w:r w:rsidR="000120A0">
        <w:rPr>
          <w:b/>
          <w:bCs/>
          <w:lang w:val="en-GB" w:bidi="ar-EG"/>
        </w:rPr>
        <w:t>Table</w:t>
      </w:r>
      <w:r w:rsidR="00D85AAD">
        <w:rPr>
          <w:b/>
          <w:bCs/>
          <w:lang w:val="en-GB" w:bidi="ar-EG"/>
        </w:rPr>
        <w:t xml:space="preserve"> 4</w:t>
      </w:r>
    </w:p>
    <w:p w14:paraId="74099771" w14:textId="77777777" w:rsidR="00C41BE6" w:rsidRDefault="00D85AAD">
      <w:pPr>
        <w:pStyle w:val="P"/>
        <w:rPr>
          <w:b/>
          <w:bCs/>
          <w:lang w:val="en-GB" w:bidi="ar-EG"/>
        </w:rPr>
      </w:pPr>
      <w:r>
        <w:rPr>
          <w:b/>
          <w:bCs/>
          <w:lang w:val="en-GB" w:bidi="ar-EG"/>
        </w:rPr>
        <w:t xml:space="preserve">Table 5, Figure 3 </w:t>
      </w:r>
      <w:r w:rsidR="003568A7">
        <w:rPr>
          <w:lang w:val="en-GB" w:bidi="ar-EG"/>
        </w:rPr>
        <w:t>shows that AFP, PDGFR-β and APAC score can significantly predict cirrhotic patients with HCC with cut off values (&gt;22 ng/ml, ≤789.7pg/ml and &gt;3.9 respectively). And that APAC demonstrated better diagnostic performance compared to PDGFR-β, as it had a higher AUC and performance characteristics. Combination of AFP+ PDGFR-β revealed better AUC and performance characteristics than each separate marker.</w:t>
      </w:r>
    </w:p>
    <w:p w14:paraId="2F03BF8A" w14:textId="77777777" w:rsidR="00C41BE6" w:rsidRDefault="003568A7">
      <w:pPr>
        <w:pStyle w:val="P"/>
      </w:pPr>
      <w:r>
        <w:rPr>
          <w:b/>
          <w:bCs/>
          <w:lang w:val="en-GB" w:bidi="ar-EG"/>
        </w:rPr>
        <w:t xml:space="preserve">Table 7 </w:t>
      </w:r>
      <w:r>
        <w:rPr>
          <w:lang w:val="en-GB" w:bidi="ar-EG"/>
        </w:rPr>
        <w:t>shows logistic regression analysis for prediction of HCC susceptibility among cirrhotic patients. It shows that higher AFP, APAC</w:t>
      </w:r>
      <w:r w:rsidR="00D14127">
        <w:rPr>
          <w:lang w:val="en-GB" w:bidi="ar-EG"/>
        </w:rPr>
        <w:t xml:space="preserve"> score</w:t>
      </w:r>
      <w:r>
        <w:rPr>
          <w:lang w:val="en-GB" w:bidi="ar-EG"/>
        </w:rPr>
        <w:t>, and lower PDGFR-β were associated with higher HCC susceptibility among LC cases in univariable analysis. While in multivariable analysis, higher AFP, APAC, and lower PDGFR-β were considered independent predictors for HCC on top of LC. APAC was found to be a stronger predictor of HCC susceptibility compared to PDGFR-β, with higher odds of developing HCC. This suggests that APAC is a more reliable marker for detecting HCC in cirrhotic patients.</w:t>
      </w:r>
    </w:p>
    <w:bookmarkEnd w:id="0"/>
    <w:bookmarkEnd w:id="1"/>
    <w:p w14:paraId="3DD7E3C7" w14:textId="77777777" w:rsidR="00C41BE6" w:rsidRDefault="003568A7">
      <w:pPr>
        <w:spacing w:before="240"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Discussion</w:t>
      </w:r>
    </w:p>
    <w:p w14:paraId="1E4A308C" w14:textId="3DE1EDCF" w:rsidR="00C41BE6" w:rsidRDefault="00751757" w:rsidP="00CD654F">
      <w:pPr>
        <w:spacing w:before="240" w:after="0" w:line="240" w:lineRule="auto"/>
        <w:jc w:val="lowKashida"/>
        <w:rPr>
          <w:rFonts w:ascii="Times New Roman" w:hAnsi="Times New Roman" w:cs="Times New Roman"/>
          <w:sz w:val="24"/>
          <w:szCs w:val="24"/>
          <w14:ligatures w14:val="standardContextual"/>
        </w:rPr>
      </w:pPr>
      <w:r w:rsidRPr="00751757">
        <w:rPr>
          <w:rFonts w:ascii="Times New Roman" w:hAnsi="Times New Roman" w:cs="Times New Roman"/>
          <w:sz w:val="24"/>
          <w:szCs w:val="24"/>
          <w14:ligatures w14:val="standardContextual"/>
        </w:rPr>
        <w:t>4.7% of all cancers and 75%-85% of primary liver malignancies worldwide were caused by HCC in 2018.     The annual incidence of liver cancer is approximately 841,000 new cases, resulting in 782,000 fatalities</w:t>
      </w:r>
      <w:r w:rsidR="008F7EBA">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&lt;EndNote&gt;&lt;Cite&gt;&lt;Author&gt;Abudeif&lt;/Author&gt;&lt;Year&gt;2019&lt;/Year&gt;&lt;RecNum&gt;24&lt;/RecNum&gt;&lt;DisplayText&gt;(24)&lt;/DisplayText&gt;&lt;record&gt;&lt;rec-number&gt;24&lt;/rec-number&gt;&lt;foreign-keys&gt;&lt;key app="EN" db-id="zsx905w2ww2r0pepe0dvsse7s9edtx2atfdf" timestamp="1752155912"&gt;24&lt;/key&gt;&lt;/foreign-keys&gt;&lt;ref-type name="Journal Article"&gt;17&lt;/ref-type&gt;&lt;contributors&gt;&lt;authors&gt;&lt;author&gt;Abudeif, Ahmed&lt;/author&gt;&lt;/authors&gt;&lt;/contributors&gt;&lt;titles&gt;&lt;title&gt;Epidemiology and Risk Factors of Hepatocellular Carcinoma in Egypt&lt;/title&gt;&lt;secondary-title&gt;Sohag Med J&lt;/secondary-title&gt;&lt;short-title&gt;Epidemiology and Risk Factors of Hepatocellular Carcinoma in Egypt&lt;/short-title&gt;&lt;/titles&gt;&lt;periodical&gt;&lt;full-title&gt;Sohag Med J&lt;/full-title&gt;&lt;/periodical&gt;&lt;pages&gt;8-12&lt;/pages&gt;&lt;volume&gt;23&lt;/volume&gt;&lt;number&gt;3&lt;/number&gt;&lt;keywords&gt;&lt;keyword&gt;Hepatocellular carcinoma&lt;/keyword&gt;&lt;keyword&gt;HCC&lt;/keyword&gt;&lt;keyword&gt;GLOBOCAN 2018&lt;/keyword&gt;&lt;keyword&gt;Epidemiology&lt;/keyword&gt;&lt;keyword&gt;risk factors&lt;/keyword&gt;&lt;/keywords&gt;&lt;dates&gt;&lt;year&gt;2019&lt;/year&gt;&lt;/dates&gt;&lt;urls&gt;&lt;related-urls&gt;&lt;url&gt;https://smj.journals.ekb.eg/article_56178_caa3c2eff016a33bc737b46f9eb427ad.pdf&lt;/url&gt;&lt;/related-urls&gt;&lt;/urls&gt;&lt;electronic-resource-num&gt;10.21608/smj.2019.13376.1019&lt;/electronic-resource-num&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(24)</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r w:rsidR="003568A7">
        <w:rPr>
          <w:rFonts w:ascii="Times New Roman" w:hAnsi="Times New Roman" w:cs="Times New Roman" w:hint="cs"/>
          <w:sz w:val="24"/>
          <w:szCs w:val="24"/>
          <w:rtl/>
          <w14:ligatures w14:val="standardContextual"/>
        </w:rPr>
        <w:t xml:space="preserve"> </w:t>
      </w:r>
      <w:r w:rsidR="007D0E1B" w:rsidRPr="007D0E1B">
        <w:rPr>
          <w:rFonts w:ascii="Times New Roman" w:hAnsi="Times New Roman" w:cs="Times New Roman"/>
          <w:sz w:val="24"/>
          <w:szCs w:val="24"/>
          <w14:ligatures w14:val="standardContextual"/>
        </w:rPr>
        <w:t>Golgi protein 73, Glypican-3, des-gamma-carboxy prothrombin (DCP), and other novel serum biomarkers have been the subject of a significant amount of research recently.  When identified independently or in conjunction with associated scores, they have significant diagnostic potential for early-stage HCC</w:t>
      </w:r>
      <w:r w:rsidR="007D0E1B">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&lt;EndNote&gt;&lt;Cite&gt;&lt;Author&gt;Wang&lt;/Author&gt;&lt;Year&gt;2023&lt;/Year&gt;&lt;RecNum&gt;25&lt;/RecNum&gt;&lt;DisplayText&gt;(25)&lt;/DisplayText&gt;&lt;record&gt;&lt;rec-number&gt;25&lt;/rec-number&gt;&lt;foreign-keys&gt;&lt;key app="EN" db-id="zsx905w2ww2r0pepe0dvsse7s9edtx2atfdf" timestamp="1752155912"&gt;25&lt;/key&gt;&lt;/foreign-keys&gt;&lt;ref-type name="Journal Article"&gt;17&lt;/ref-type&gt;&lt;contributors&gt;&lt;authors&gt;&lt;author&gt;Wang, Z.&lt;/author&gt;&lt;author&gt;Qin, H.&lt;/author&gt;&lt;author&gt;Liu, S.&lt;/author&gt;&lt;author&gt;Sheng, J.&lt;/author&gt;&lt;author&gt;Zhang, X.&lt;/author&gt;&lt;/authors&gt;&lt;/contributors&gt;&lt;auth-address&gt;Department of Hepatobiliary and Pancreatic Surgery, Second Hospital of Jilin University, Changchun, Jilin 130041, China.&amp;#xD;Department of Radiotherapy, Second Hospital of Jilin University, Changchun, Jilin 130041, China.&lt;/auth-address&gt;&lt;titles&gt;&lt;title&gt;Precision diagnosis of hepatocellular carcinoma&lt;/title&gt;&lt;secondary-title&gt;Chin Med J (Engl)&lt;/secondary-title&gt;&lt;/titles&gt;&lt;periodical&gt;&lt;full-title&gt;Chin Med J (Engl)&lt;/full-title&gt;&lt;/periodical&gt;&lt;pages&gt;1155-1165&lt;/pages&gt;&lt;volume&gt;136&lt;/volume&gt;&lt;number&gt;10&lt;/number&gt;&lt;edition&gt;20230317&lt;/edition&gt;&lt;keywords&gt;&lt;keyword&gt;Humans&lt;/keyword&gt;&lt;keyword&gt;*Carcinoma, Hepatocellular/diagnosis/pathology&lt;/keyword&gt;&lt;keyword&gt;*Liver Neoplasms/diagnosis/pathology&lt;/keyword&gt;&lt;keyword&gt;Prognosis&lt;/keyword&gt;&lt;keyword&gt;Early Diagnosis&lt;/keyword&gt;&lt;keyword&gt;Precision Medicine&lt;/keyword&gt;&lt;/keywords&gt;&lt;dates&gt;&lt;year&gt;2023&lt;/year&gt;&lt;pub-dates&gt;&lt;date&gt;May 20&lt;/date&gt;&lt;/pub-dates&gt;&lt;/dates&gt;&lt;isbn&gt;0366-6999 (Print)&amp;#xD;0366-6999&lt;/isbn&gt;&lt;accession-num&gt;36939276&lt;/accession-num&gt;&lt;urls&gt;&lt;/urls&gt;&lt;custom1&gt;None.&lt;/custom1&gt;&lt;custom2&gt;PMC10278703&lt;/custom2&gt;&lt;electronic-resource-num&gt;10.1097/cm9.0000000000002641&lt;/electronic-resource-num&gt;&lt;remote-database-provider&gt;NLM&lt;/remote-database-provider&gt;&lt;language&gt;eng&lt;/language&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(25)</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1F3529E0" w14:textId="52111089" w:rsidR="00C41BE6" w:rsidRDefault="008340EC">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PDGFR-β </w:t>
      </w:r>
      <w:r w:rsidR="003568A7">
        <w:rPr>
          <w:rFonts w:ascii="Times New Roman" w:hAnsi="Times New Roman" w:cs="Times New Roman"/>
          <w:sz w:val="24"/>
          <w:szCs w:val="24"/>
          <w14:ligatures w14:val="standardContextual"/>
        </w:rPr>
        <w:t>is a member of PDGF family.</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&lt;EndNote&gt;&lt;Cite&gt;&lt;Author&gt;Chen&lt;/Author&gt;&lt;Year&gt;2018&lt;/Year&gt;&lt;RecNum&gt;26&lt;/RecNum&gt;&lt;DisplayText&gt;(26)&lt;/DisplayText&gt;&lt;record&gt;&lt;rec-number&gt;26&lt;/rec-number&gt;&lt;foreign-keys&gt;&lt;key app="EN" db-id="zsx905w2ww2r0pepe0dvsse7s9edtx2atfdf" timestamp="1752155912"&gt;26&lt;/key&gt;&lt;/foreign-keys&gt;&lt;ref-type name="Journal Article"&gt;17&lt;/ref-type&gt;&lt;contributors&gt;&lt;authors&gt;&lt;author&gt;Chen, Bin&lt;/author&gt;&lt;author&gt;Liu, Jinghua&lt;/author&gt;&lt;author&gt;Wang, Xionghua&lt;/author&gt;&lt;author&gt;Shen, Qian&lt;/author&gt;&lt;author&gt;Li, Chao&lt;/author&gt;&lt;author&gt;Dai, Chunshan&lt;/author&gt;&lt;/authors&gt;&lt;/contributors&gt;&lt;titles&gt;&lt;title&gt;Co-expression of PDGF-B and VEGFR-3 strongly correlates with poor prognosis in hepatocellular carcinoma patients after hepatectomy&lt;/title&gt;&lt;secondary-title&gt;Clin Res Hepatol Gastroenterol&lt;/secondary-title&gt;&lt;/titles&gt;&lt;periodical&gt;&lt;full-title&gt;Clin Res Hepatol Gastroenterol&lt;/full-title&gt;&lt;/periodical&gt;&lt;pages&gt;126-133&lt;/pages&gt;&lt;volume&gt;42&lt;/volume&gt;&lt;number&gt;2&lt;/number&gt;&lt;dates&gt;&lt;year&gt;2018&lt;/year&gt;&lt;pub-dates&gt;&lt;date&gt;2018/04/01/&lt;/date&gt;&lt;/pub-dates&gt;&lt;/dates&gt;&lt;isbn&gt;2210-7401&lt;/isbn&gt;&lt;urls&gt;&lt;related-urls&gt;&lt;url&gt;https://www.sciencedirect.com/science/article/pii/S221074011630198X&lt;/url&gt;&lt;/related-urls&gt;&lt;/urls&gt;&lt;electronic-resource-num&gt;https://doi.org/10.1016/j.clinre.2016.11.006&lt;/electronic-resource-num&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(26)</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 xml:space="preserve">. </w:t>
      </w:r>
      <w:r w:rsidR="000D3646" w:rsidRPr="000D3646">
        <w:rPr>
          <w:rFonts w:ascii="Times New Roman" w:hAnsi="Times New Roman" w:cs="Times New Roman"/>
          <w:sz w:val="24"/>
          <w:szCs w:val="24"/>
          <w14:ligatures w14:val="standardContextual"/>
        </w:rPr>
        <w:t xml:space="preserve">Both PDGFR-β and -D are potent mitogens that stimulate culture-activated hepatic stellate cells (HSCs), rendering PDGF-β essential </w:t>
      </w:r>
      <w:r w:rsidR="000D3646" w:rsidRPr="000D3646">
        <w:rPr>
          <w:rFonts w:ascii="Times New Roman" w:hAnsi="Times New Roman" w:cs="Times New Roman"/>
          <w:sz w:val="24"/>
          <w:szCs w:val="24"/>
          <w14:ligatures w14:val="standardContextual"/>
        </w:rPr>
        <w:lastRenderedPageBreak/>
        <w:t>for liver fibrogenesis.  The induction of PDGFR-β in HSCs in single-dose acute liver injury caused by carbon tetrachloride is a well-established observation</w:t>
      </w:r>
      <w:r w:rsidR="000D3646">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&lt;EndNote&gt;&lt;Cite&gt;&lt;Author&gt;Borkham-Kamphorst&lt;/Author&gt;&lt;Year&gt;2008&lt;/Year&gt;&lt;RecNum&gt;27&lt;/RecNum&gt;&lt;DisplayText&gt;(27)&lt;/DisplayText&gt;&lt;record&gt;&lt;rec-number&gt;27&lt;/rec-number&gt;&lt;foreign-keys&gt;&lt;key app="EN" db-id="zsx905w2ww2r0pepe0dvsse7s9edtx2atfdf" timestamp="1752155912"&gt;27&lt;/key&gt;&lt;/foreign-keys&gt;&lt;ref-type name="Journal Article"&gt;17&lt;/ref-type&gt;&lt;contributors&gt;&lt;authors&gt;&lt;author&gt;Borkham-Kamphorst, Erawan&lt;/author&gt;&lt;author&gt;Kovalenko, Evgenia&lt;/author&gt;&lt;author&gt;van Roeyen, Claudia R. C.&lt;/author&gt;&lt;author&gt;Gassler, Nikolaus&lt;/author&gt;&lt;author&gt;Bomble, Michael&lt;/author&gt;&lt;author&gt;Ostendorf, Tammo&lt;/author&gt;&lt;author&gt;Floege, Jürgen&lt;/author&gt;&lt;author&gt;Gressner, Axel M.&lt;/author&gt;&lt;author&gt;Weiskirchen, Ralf&lt;/author&gt;&lt;/authors&gt;&lt;/contributors&gt;&lt;titles&gt;&lt;title&gt;Platelet-derived growth factor isoform expression in carbon tetrachloride-induced chronic liver injury&lt;/title&gt;&lt;secondary-title&gt;Lab Invest&lt;/secondary-title&gt;&lt;/titles&gt;&lt;periodical&gt;&lt;full-title&gt;Lab Invest&lt;/full-title&gt;&lt;/periodical&gt;&lt;pages&gt;1090-1100&lt;/pages&gt;&lt;volume&gt;88&lt;/volume&gt;&lt;number&gt;10&lt;/number&gt;&lt;dates&gt;&lt;year&gt;2008&lt;/year&gt;&lt;pub-dates&gt;&lt;date&gt;2008/10/01&lt;/date&gt;&lt;/pub-dates&gt;&lt;/dates&gt;&lt;isbn&gt;1530-0307&lt;/isbn&gt;&lt;urls&gt;&lt;related-urls&gt;&lt;url&gt;https://doi.org/10.1038/labinvest.2008.71&lt;/url&gt;&lt;/related-urls&gt;&lt;/urls&gt;&lt;electronic-resource-num&gt;10.1038/labinvest.2008.71&lt;/electronic-resource-num&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(27)</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r w:rsidR="003568A7">
        <w:t xml:space="preserve"> </w:t>
      </w:r>
      <w:r w:rsidR="009E5DF2" w:rsidRPr="009E5DF2">
        <w:rPr>
          <w:rFonts w:ascii="Times New Roman" w:hAnsi="Times New Roman" w:cs="Times New Roman"/>
          <w:sz w:val="24"/>
          <w:szCs w:val="24"/>
          <w14:ligatures w14:val="standardContextual"/>
        </w:rPr>
        <w:t>In addition, the expression of this gene is statistically considerably higher in HCC tissue than in peritumoral tissue, which further suggests the presence of cancer-associated fibroblasts.   Lenvatinib and sorafenib are multi-tyrosine kinase inhibitors that therapeutically target PDGFR-β, a critical component of HCC's angiogenic and proliferative capacity.</w:t>
      </w:r>
      <w:r w:rsidR="009E5DF2">
        <w:rPr>
          <w:rFonts w:ascii="Times New Roman" w:hAnsi="Times New Roman" w:cs="Times New Roman"/>
          <w:sz w:val="24"/>
          <w:szCs w:val="24"/>
          <w14:ligatures w14:val="standardContextual"/>
        </w:rPr>
        <w:t xml:space="preserve"> </w:t>
      </w:r>
      <w:r w:rsidR="00A6354C" w:rsidRPr="00A6354C">
        <w:rPr>
          <w:rFonts w:ascii="Times New Roman" w:hAnsi="Times New Roman" w:cs="Times New Roman"/>
          <w:sz w:val="24"/>
          <w:szCs w:val="24"/>
          <w14:ligatures w14:val="standardContextual"/>
        </w:rPr>
        <w:t>Although circulating soluble PDGFR-β has been recently employed to diagnose liver fibrosis without regard to the etiology of the disease</w:t>
      </w:r>
      <w:r w:rsidR="003568A7">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&lt;EndNote&gt;&lt;Cite&gt;&lt;Author&gt;Kaps&lt;/Author&gt;&lt;Year&gt;2020&lt;/Year&gt;&lt;RecNum&gt;93&lt;/RecNum&gt;&lt;DisplayText&gt;(28)&lt;/DisplayText&gt;&lt;record&gt;&lt;rec-number&gt;93&lt;/rec-number&gt;&lt;foreign-keys&gt;&lt;key app="EN" db-id="9ztf5fsevf5zd8erxvhpv5ddtzf9zsrx22rd" timestamp="1752142279"&gt;93&lt;/key&gt;&lt;/foreign-keys&gt;&lt;ref-type name="Journal Article"&gt;17&lt;/ref-type&gt;&lt;contributors&gt;&lt;authors&gt;&lt;author&gt;Kaps, Leonard&lt;/author&gt;&lt;author&gt;Schuppan, Detlef&lt;/author&gt;&lt;/authors&gt;&lt;/contributors&gt;&lt;titles&gt;&lt;title&gt;Targeting cancer associated fibroblasts in liver fibrosis and liver cancer using nanocarriers&lt;/title&gt;&lt;secondary-title&gt;Cells&lt;/secondary-title&gt;&lt;/titles&gt;&lt;periodical&gt;&lt;full-title&gt;Cells&lt;/full-title&gt;&lt;/periodical&gt;&lt;pages&gt;2027&lt;/pages&gt;&lt;volume&gt;9&lt;/volume&gt;&lt;number&gt;9&lt;/number&gt;&lt;dates&gt;&lt;year&gt;2020&lt;/year&gt;&lt;/dates&gt;&lt;isbn&gt;2073-4409&lt;/isbn&gt;&lt;urls&gt;&lt;/urls&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(28)</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559446FF" w14:textId="6BE66D12" w:rsidR="00C41BE6" w:rsidRDefault="000D3646">
      <w:pPr>
        <w:spacing w:before="240" w:after="0" w:line="240" w:lineRule="auto"/>
        <w:jc w:val="lowKashida"/>
        <w:rPr>
          <w:rFonts w:ascii="Times New Roman" w:hAnsi="Times New Roman" w:cs="Times New Roman"/>
          <w:sz w:val="24"/>
          <w:szCs w:val="24"/>
          <w14:ligatures w14:val="standardContextual"/>
        </w:rPr>
      </w:pPr>
      <w:r w:rsidRPr="000D3646">
        <w:rPr>
          <w:rFonts w:ascii="Times New Roman" w:hAnsi="Times New Roman" w:cs="Times New Roman"/>
          <w:sz w:val="24"/>
          <w:szCs w:val="24"/>
          <w14:ligatures w14:val="standardContextual"/>
        </w:rPr>
        <w:t>The APAC score, a serological instrument, is both extremely accurate and innovative in its ability to diagnose HCC, particularly in its early stages.     It has the potential to improve the surveillance of the at-risk population and is preferable to the blood-based algorithms that are currently being considered</w:t>
      </w:r>
      <w:r>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w:instrTex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EN.CITE.DATA </w:instrTex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(29)</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34748F8F" w14:textId="2A048FB5" w:rsidR="00C41BE6" w:rsidRDefault="008F7EBA">
      <w:pPr>
        <w:spacing w:before="240" w:after="0" w:line="240" w:lineRule="auto"/>
        <w:jc w:val="lowKashida"/>
        <w:rPr>
          <w:rFonts w:ascii="Times New Roman" w:hAnsi="Times New Roman" w:cs="Times New Roman"/>
          <w:sz w:val="24"/>
          <w:szCs w:val="24"/>
          <w14:ligatures w14:val="standardContextual"/>
        </w:rPr>
      </w:pPr>
      <w:r w:rsidRPr="008F7EBA">
        <w:rPr>
          <w:rFonts w:ascii="Times New Roman" w:hAnsi="Times New Roman" w:cs="Times New Roman"/>
          <w:sz w:val="24"/>
          <w:szCs w:val="24"/>
          <w14:ligatures w14:val="standardContextual"/>
        </w:rPr>
        <w:t>This investigation revealed a statistically significant disparity in the age of cirrhotic patients without HCC and cirrhotic patients with HCC</w:t>
      </w:r>
      <w:r>
        <w:rPr>
          <w:rFonts w:ascii="Times New Roman" w:hAnsi="Times New Roman" w:cs="Times New Roman"/>
          <w:sz w:val="24"/>
          <w:szCs w:val="24"/>
          <w14:ligatures w14:val="standardContextual"/>
        </w:rPr>
        <w:t xml:space="preserve"> </w:t>
      </w:r>
      <w:r w:rsidR="003568A7" w:rsidRPr="00A6354C">
        <w:rPr>
          <w:rFonts w:ascii="Times New Roman" w:hAnsi="Times New Roman" w:cs="Times New Roman"/>
          <w:b/>
          <w:bCs/>
          <w:sz w:val="24"/>
          <w:szCs w:val="24"/>
          <w14:ligatures w14:val="standardContextual"/>
        </w:rPr>
        <w:t>(Table 1)</w:t>
      </w:r>
      <w:r w:rsidR="003568A7">
        <w:rPr>
          <w:rFonts w:ascii="Times New Roman" w:hAnsi="Times New Roman" w:cs="Times New Roman"/>
          <w:sz w:val="24"/>
          <w:szCs w:val="24"/>
          <w14:ligatures w14:val="standardContextual"/>
        </w:rPr>
        <w:t xml:space="preserve"> with mean age (58.65 ± 8.65 and 54.48 ± 8.96  years respectively), this was in the line with </w:t>
      </w:r>
      <w:r w:rsidR="003568A7">
        <w:rPr>
          <w:rFonts w:ascii="Times New Roman" w:hAnsi="Times New Roman" w:cs="Times New Roman"/>
          <w:b/>
          <w:bCs/>
          <w:sz w:val="24"/>
          <w:szCs w:val="24"/>
          <w14:ligatures w14:val="standardContextual"/>
        </w:rPr>
        <w:t>Lamb</w:t>
      </w:r>
      <w:r w:rsidR="003568A7">
        <w:rPr>
          <w:rFonts w:ascii="Times New Roman" w:hAnsi="Times New Roman" w:cs="Times New Roman"/>
          <w:sz w:val="24"/>
          <w:szCs w:val="24"/>
          <w14:ligatures w14:val="standardContextual"/>
        </w:rPr>
        <w:t xml:space="preserve"> </w:t>
      </w:r>
      <w:r w:rsidR="003568A7">
        <w:rPr>
          <w:rFonts w:ascii="Times New Roman" w:hAnsi="Times New Roman" w:cs="Times New Roman"/>
          <w:b/>
          <w:bCs/>
          <w:sz w:val="24"/>
          <w:szCs w:val="24"/>
          <w14:ligatures w14:val="standardContextual"/>
        </w:rPr>
        <w:t>and his colleagues</w:t>
      </w:r>
      <w:r w:rsidR="003568A7">
        <w:rPr>
          <w:rFonts w:ascii="Times New Roman" w:hAnsi="Times New Roman" w:cs="Times New Roman"/>
          <w:sz w:val="24"/>
          <w:szCs w:val="24"/>
          <w14:ligatures w14:val="standardContextual"/>
        </w:rPr>
        <w:t xml:space="preserve"> who reported that patients without HCC were older at diagnosis compared to those with HCC with statistically significant difference, and the mean age was (60.54 ±9.66 and 58.45 ±7.67 years respectively), (p = 0.001)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&lt;EndNote&gt;&lt;Cite&gt;&lt;Author&gt;Lamb&lt;/Author&gt;&lt;Year&gt;2024&lt;/Year&gt;&lt;RecNum&gt;28&lt;/RecNum&gt;&lt;DisplayText&gt;(30)&lt;/DisplayText&gt;&lt;record&gt;&lt;rec-number&gt;28&lt;/rec-number&gt;&lt;foreign-keys&gt;&lt;key app="EN" db-id="zsx905w2ww2r0pepe0dvsse7s9edtx2atfdf" timestamp="1752155912"&gt;28&lt;/key&gt;&lt;/foreign-keys&gt;&lt;ref-type name="Journal Article"&gt;17&lt;/ref-type&gt;&lt;contributors&gt;&lt;authors&gt;&lt;author&gt;Lamb, Carly&lt;/author&gt;&lt;author&gt;Tham, Jennifer&lt;/author&gt;&lt;author&gt;Goh, Tee Lin&lt;/author&gt;&lt;author&gt;Barclay, Stephen&lt;/author&gt;&lt;author&gt;Priest, Matthew&lt;/author&gt;&lt;author&gt;Forrest, Ewan H&lt;/author&gt;&lt;author&gt;Fraser, Andrew&lt;/author&gt;&lt;author&gt;Kay, David&lt;/author&gt;&lt;author&gt;Kasthuri, Ram&lt;/author&gt;&lt;author&gt;Evans, Jeff&lt;/author&gt;&lt;/authors&gt;&lt;/contributors&gt;&lt;titles&gt;&lt;title&gt;Comparison between patient characteristics, aetiology and outcomes in patients with and without cirrhosis with hepatocellular carcinoma diagnosed in a regional centre&lt;/title&gt;&lt;secondary-title&gt;Frontline Gastroenterol&lt;/secondary-title&gt;&lt;/titles&gt;&lt;periodical&gt;&lt;full-title&gt;Frontline Gastroenterol&lt;/full-title&gt;&lt;/periodical&gt;&lt;pages&gt;380-386&lt;/pages&gt;&lt;volume&gt;15&lt;/volume&gt;&lt;number&gt;5&lt;/number&gt;&lt;dates&gt;&lt;year&gt;2024&lt;/year&gt;&lt;/dates&gt;&lt;isbn&gt;2041-4137&lt;/isbn&gt;&lt;urls&gt;&lt;/urls&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(30)</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 xml:space="preserve">. </w:t>
      </w:r>
    </w:p>
    <w:p w14:paraId="76B44281" w14:textId="796280EF" w:rsidR="00C41BE6" w:rsidRDefault="007D0E1B">
      <w:pPr>
        <w:spacing w:before="240" w:after="0" w:line="240" w:lineRule="auto"/>
        <w:jc w:val="lowKashida"/>
        <w:rPr>
          <w:rFonts w:ascii="Times New Roman" w:hAnsi="Times New Roman" w:cs="Times New Roman"/>
          <w:sz w:val="24"/>
          <w:szCs w:val="24"/>
          <w14:ligatures w14:val="standardContextual"/>
        </w:rPr>
      </w:pPr>
      <w:r w:rsidRPr="007D0E1B">
        <w:rPr>
          <w:rFonts w:ascii="Times New Roman" w:hAnsi="Times New Roman" w:cs="Times New Roman"/>
          <w:sz w:val="24"/>
          <w:szCs w:val="24"/>
          <w14:ligatures w14:val="standardContextual"/>
        </w:rPr>
        <w:t>The proportion of male patients in the current study was 55%, and there was no statistically significant difference between the two patient categories (cirrhotic patients with and without HCC) (Table 1).</w:t>
      </w:r>
      <w:r w:rsidR="003568A7">
        <w:rPr>
          <w:rFonts w:ascii="Times New Roman" w:hAnsi="Times New Roman" w:cs="Times New Roman"/>
          <w:sz w:val="24"/>
          <w:szCs w:val="24"/>
          <w14:ligatures w14:val="standardContextual"/>
        </w:rPr>
        <w:t xml:space="preserve">this was agreed with </w:t>
      </w:r>
      <w:r w:rsidR="003568A7">
        <w:rPr>
          <w:rFonts w:ascii="Times New Roman" w:hAnsi="Times New Roman" w:cs="Times New Roman"/>
          <w:b/>
          <w:bCs/>
          <w:sz w:val="24"/>
          <w:szCs w:val="24"/>
          <w14:ligatures w14:val="standardContextual"/>
        </w:rPr>
        <w:t>Yen and his colleagues</w:t>
      </w:r>
      <w:r w:rsidR="003568A7">
        <w:rPr>
          <w:rFonts w:ascii="Times New Roman" w:hAnsi="Times New Roman" w:cs="Times New Roman"/>
          <w:sz w:val="24"/>
          <w:szCs w:val="24"/>
          <w14:ligatures w14:val="standardContextual"/>
        </w:rPr>
        <w:t xml:space="preserve"> </w:t>
      </w:r>
      <w:r w:rsidR="00216F53" w:rsidRPr="00216F53">
        <w:rPr>
          <w:rFonts w:ascii="Times New Roman" w:hAnsi="Times New Roman" w:cs="Times New Roman"/>
          <w:sz w:val="24"/>
          <w:szCs w:val="24"/>
          <w14:ligatures w14:val="standardContextual"/>
        </w:rPr>
        <w:t>according to whom there was no significant difference between sex and the development of HCC, with a higher incidence in males (72.2%)</w:t>
      </w:r>
      <w:r w:rsidR="00216F53">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&lt;EndNote&gt;&lt;Cite&gt;&lt;Author&gt;Yen&lt;/Author&gt;&lt;Year&gt;2024&lt;/Year&gt;&lt;RecNum&gt;29&lt;/RecNum&gt;&lt;DisplayText&gt;(31)&lt;/DisplayText&gt;&lt;record&gt;&lt;rec-number&gt;29&lt;/rec-number&gt;&lt;foreign-keys&gt;&lt;key app="EN" db-id="zsx905w2ww2r0pepe0dvsse7s9edtx2atfdf" timestamp="1752155912"&gt;29&lt;/key&gt;&lt;/foreign-keys&gt;&lt;ref-type name="Journal Article"&gt;17&lt;/ref-type&gt;&lt;contributors&gt;&lt;authors&gt;&lt;author&gt;Yen, Yi‐Hao&lt;/author&gt;&lt;author&gt;Li, Wei‐Feng&lt;/author&gt;&lt;author&gt;Kee, Kwong‐Ming&lt;/author&gt;&lt;author&gt;Wang, Chih‐Chi&lt;/author&gt;&lt;/authors&gt;&lt;/contributors&gt;&lt;titles&gt;&lt;title&gt;Prognosis of patients with hepatocellular carcinoma: Sex does not matter&lt;/title&gt;&lt;secondary-title&gt;Adv Dig Med&lt;/secondary-title&gt;&lt;/titles&gt;&lt;periodical&gt;&lt;full-title&gt;Adv Dig Med&lt;/full-title&gt;&lt;/periodical&gt;&lt;pages&gt;65-73&lt;/pages&gt;&lt;volume&gt;11&lt;/volume&gt;&lt;number&gt;2&lt;/number&gt;&lt;dates&gt;&lt;year&gt;2024&lt;/year&gt;&lt;/dates&gt;&lt;isbn&gt;2351-9800&lt;/isbn&gt;&lt;urls&gt;&lt;/urls&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(31)</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 xml:space="preserve">. </w:t>
      </w:r>
      <w:r w:rsidR="000D3646" w:rsidRPr="000D3646">
        <w:rPr>
          <w:rFonts w:ascii="Times New Roman" w:hAnsi="Times New Roman" w:cs="Times New Roman"/>
          <w:sz w:val="24"/>
          <w:szCs w:val="24"/>
          <w14:ligatures w14:val="standardContextual"/>
        </w:rPr>
        <w:t>The prevalence of males in HCC may be attributed to a variety of factors, such as their increased susceptibility to HCV and HBV, as well as their consumption of alcohol and nicotine.  Furthermore, the hormone testosterone has been shown to be associated with HCC, indicating that reproductive hormones may be involved in the development of HCC</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w:instrTex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EN.CITE.DATA </w:instrTex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(32)</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7C683BBB" w14:textId="4BC526C2" w:rsidR="00C41BE6" w:rsidRDefault="007D0E1B" w:rsidP="00D14127">
      <w:pPr>
        <w:spacing w:before="240" w:after="0" w:line="240" w:lineRule="auto"/>
        <w:jc w:val="lowKashida"/>
        <w:rPr>
          <w:rFonts w:ascii="Times New Roman" w:hAnsi="Times New Roman" w:cs="Times New Roman"/>
          <w:sz w:val="24"/>
          <w:szCs w:val="24"/>
          <w14:ligatures w14:val="standardContextual"/>
        </w:rPr>
      </w:pPr>
      <w:r w:rsidRPr="007D0E1B">
        <w:rPr>
          <w:rFonts w:ascii="Times New Roman" w:hAnsi="Times New Roman" w:cs="Times New Roman"/>
          <w:sz w:val="24"/>
          <w:szCs w:val="24"/>
          <w14:ligatures w14:val="standardContextual"/>
        </w:rPr>
        <w:t xml:space="preserve">The most significant statistical disparity was observed in the laboratory results of the two groups under investigation (p &lt; 0.001).    Cirrhotic patients with HCC and cirrhotic patients without HCC exhibited </w:t>
      </w:r>
      <w:r w:rsidR="00F43CFF" w:rsidRPr="007D0E1B">
        <w:rPr>
          <w:rFonts w:ascii="Times New Roman" w:hAnsi="Times New Roman" w:cs="Times New Roman"/>
          <w:sz w:val="24"/>
          <w:szCs w:val="24"/>
          <w14:ligatures w14:val="standardContextual"/>
        </w:rPr>
        <w:t>significantly</w:t>
      </w:r>
      <w:r w:rsidRPr="007D0E1B">
        <w:rPr>
          <w:rFonts w:ascii="Times New Roman" w:hAnsi="Times New Roman" w:cs="Times New Roman"/>
          <w:sz w:val="24"/>
          <w:szCs w:val="24"/>
          <w14:ligatures w14:val="standardContextual"/>
        </w:rPr>
        <w:t xml:space="preserve"> higher mean ESR levels than the other group, with values of 80.85 ± 26.80 and 22.63 ± 14.37mm/h, respectively</w:t>
      </w:r>
      <w:r w:rsidR="00216F53" w:rsidRPr="00216F53">
        <w:rPr>
          <w:rFonts w:ascii="Times New Roman" w:hAnsi="Times New Roman" w:cs="Times New Roman"/>
          <w:b/>
          <w:bCs/>
          <w:sz w:val="24"/>
          <w:szCs w:val="24"/>
          <w14:ligatures w14:val="standardContextual"/>
        </w:rPr>
        <w:t>(table 2)</w:t>
      </w:r>
      <w:r w:rsidR="00216F53" w:rsidRPr="00216F53">
        <w:rPr>
          <w:rFonts w:ascii="Times New Roman" w:hAnsi="Times New Roman" w:cs="Times New Roman"/>
          <w:sz w:val="24"/>
          <w:szCs w:val="24"/>
          <w14:ligatures w14:val="standardContextual"/>
        </w:rPr>
        <w:t>.</w:t>
      </w:r>
      <w:r w:rsidR="003568A7">
        <w:rPr>
          <w:rFonts w:ascii="Times New Roman" w:hAnsi="Times New Roman" w:cs="Times New Roman"/>
          <w:sz w:val="24"/>
          <w:szCs w:val="24"/>
          <w14:ligatures w14:val="standardContextual"/>
        </w:rPr>
        <w:t xml:space="preserve">This was in line with </w:t>
      </w:r>
      <w:r w:rsidR="003568A7">
        <w:rPr>
          <w:rFonts w:ascii="Times New Roman" w:hAnsi="Times New Roman" w:cs="Times New Roman"/>
          <w:b/>
          <w:bCs/>
          <w:sz w:val="24"/>
          <w:szCs w:val="24"/>
          <w14:ligatures w14:val="standardContextual"/>
        </w:rPr>
        <w:t>David and his colleagues</w:t>
      </w:r>
      <w:r w:rsidR="003568A7">
        <w:rPr>
          <w:rFonts w:ascii="Times New Roman" w:hAnsi="Times New Roman" w:cs="Times New Roman"/>
          <w:sz w:val="24"/>
          <w:szCs w:val="24"/>
          <w14:ligatures w14:val="standardContextual"/>
        </w:rPr>
        <w:t xml:space="preserve"> who reported that elevated ESR can be a marker of chronic inflammation and is frequently associated with malignancy and the mean ESR for those with HCC versus those without HCC was (60.67±37.9 and 22.53±8.3 mm/h respectively), (P = 0.001)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&lt;EndNote&gt;&lt;Cite&gt;&lt;Author&gt;David&lt;/Author&gt;&lt;Year&gt;2022&lt;/Year&gt;&lt;RecNum&gt;31&lt;/RecNum&gt;&lt;DisplayText&gt;(33)&lt;/DisplayText&gt;&lt;record&gt;&lt;rec-number&gt;31&lt;/rec-number&gt;&lt;foreign-keys&gt;&lt;key app="EN" db-id="zsx905w2ww2r0pepe0dvsse7s9edtx2atfdf" timestamp="1752155912"&gt;31&lt;/key&gt;&lt;/foreign-keys&gt;&lt;ref-type name="Journal Article"&gt;17&lt;/ref-type&gt;&lt;contributors&gt;&lt;authors&gt;&lt;author&gt;David, Nyam Paul&lt;/author&gt;&lt;author&gt;Davwar, Pantong Mark&lt;/author&gt;&lt;author&gt;Duguru, Mary John&lt;/author&gt;&lt;author&gt;Makpu, Jireh Dan&lt;/author&gt;&lt;author&gt;Okwute, Atta&lt;/author&gt;&lt;author&gt;Stephen, McHenry Ifeanyi&lt;/author&gt;&lt;author&gt;Okeke, Edith Nonyelum&lt;/author&gt;&lt;/authors&gt;&lt;/contributors&gt;&lt;titles&gt;&lt;title&gt;The Erythrocyte Sedimentation Rate as a Potential Hepatocellular Cancer Surveillance Tool&lt;/title&gt;&lt;secondary-title&gt;Gastroenterology, Hepatology and Endoscopy Practice&lt;/secondary-title&gt;&lt;/titles&gt;&lt;periodical&gt;&lt;full-title&gt;Gastroenterology, Hepatology and Endoscopy Practice&lt;/full-title&gt;&lt;/periodical&gt;&lt;pages&gt;87-90&lt;/pages&gt;&lt;volume&gt;2&lt;/volume&gt;&lt;number&gt;3&lt;/number&gt;&lt;dates&gt;&lt;year&gt;2022&lt;/year&gt;&lt;/dates&gt;&lt;isbn&gt;2772-2732&lt;/isbn&gt;&lt;urls&gt;&lt;/urls&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(33)</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45C8724A" w14:textId="3F0FF578" w:rsidR="007654FB" w:rsidRPr="008340EC" w:rsidRDefault="007D0E1B" w:rsidP="00D77AE1">
      <w:pPr>
        <w:spacing w:before="120" w:after="240" w:line="240" w:lineRule="auto"/>
        <w:ind w:firstLine="547"/>
        <w:jc w:val="both"/>
        <w:outlineLvl w:val="0"/>
        <w:rPr>
          <w:rFonts w:ascii="Times New Roman" w:hAnsi="Times New Roman" w:cs="Times New Roman"/>
          <w:sz w:val="24"/>
          <w:szCs w:val="24"/>
          <w14:ligatures w14:val="standardContextual"/>
        </w:rPr>
      </w:pPr>
      <w:r w:rsidRPr="007D0E1B">
        <w:rPr>
          <w:rFonts w:ascii="Times New Roman" w:hAnsi="Times New Roman" w:cs="Times New Roman"/>
          <w:sz w:val="24"/>
          <w:szCs w:val="24"/>
          <w14:ligatures w14:val="standardContextual"/>
        </w:rPr>
        <w:t xml:space="preserve">AFP levels in the non-cirrhotic group were significantly lower (16.19 ± 17.72 ng/mL, p &lt; 0.001) than in the cirrhotic group with HCC (319.3 ± 385.9 ng/mL, p &lt; 0.001) (Table 2).     A significant difference in AFP levels was found between cirrhotic patients without HCC and HCC patients (P value 0.001), which was subsequently confirmed by Omar and his colleagues.     The AFP levels of cirrhotic patients with HCC were significantly higher than those of cirrhotic patients without HCC (234.6 287.4 ng/mL and 22.45 </w:t>
      </w:r>
      <w:proofErr w:type="gramStart"/>
      <w:r w:rsidRPr="007D0E1B">
        <w:rPr>
          <w:rFonts w:ascii="Times New Roman" w:hAnsi="Times New Roman" w:cs="Times New Roman"/>
          <w:sz w:val="24"/>
          <w:szCs w:val="24"/>
          <w14:ligatures w14:val="standardContextual"/>
        </w:rPr>
        <w:t>19.32 ng</w:t>
      </w:r>
      <w:proofErr w:type="gramEnd"/>
      <w:r w:rsidRPr="007D0E1B">
        <w:rPr>
          <w:rFonts w:ascii="Times New Roman" w:hAnsi="Times New Roman" w:cs="Times New Roman"/>
          <w:sz w:val="24"/>
          <w:szCs w:val="24"/>
          <w14:ligatures w14:val="standardContextual"/>
        </w:rPr>
        <w:t>/mL, respectively).</w:t>
      </w:r>
      <w:r w:rsidR="00216F53" w:rsidRPr="00216F53">
        <w:rPr>
          <w:rFonts w:ascii="Times New Roman" w:hAnsi="Times New Roman" w:cs="Times New Roman"/>
          <w:sz w:val="24"/>
          <w:szCs w:val="24"/>
          <w14:ligatures w14:val="standardContextual"/>
        </w:rPr>
        <w:t xml:space="preserve">A protein known as AFP is typically synthesized by the liver during fetal development, and its levels typically decrease significantly after birth.  In adults, AFP </w:t>
      </w:r>
      <w:r w:rsidR="00216F53" w:rsidRPr="00216F53">
        <w:rPr>
          <w:rFonts w:ascii="Times New Roman" w:hAnsi="Times New Roman" w:cs="Times New Roman"/>
          <w:sz w:val="24"/>
          <w:szCs w:val="24"/>
          <w14:ligatures w14:val="standardContextual"/>
        </w:rPr>
        <w:lastRenderedPageBreak/>
        <w:t>should be present at extremely low levels.  On the other hand, liver cells may resume the production of AFP in specific circumstances, such as HCC, resulting in elevated blood levels</w:t>
      </w:r>
      <w:r w:rsidR="007654FB" w:rsidRPr="008340EC">
        <w:rPr>
          <w:rFonts w:ascii="Times New Roman" w:hAnsi="Times New Roman" w:cs="Times New Roman"/>
          <w:sz w:val="24"/>
          <w:szCs w:val="24"/>
          <w14:ligatures w14:val="standardContextual"/>
        </w:rPr>
        <w:t xml:space="preserve"> (</w:t>
      </w:r>
      <w:r w:rsidR="00EC2897" w:rsidRPr="008340EC">
        <w:rPr>
          <w:rFonts w:ascii="Times New Roman" w:hAnsi="Times New Roman" w:cs="Times New Roman"/>
          <w:sz w:val="24"/>
          <w:szCs w:val="24"/>
          <w14:ligatures w14:val="standardContextual"/>
        </w:rPr>
        <w:t>34</w:t>
      </w:r>
      <w:r w:rsidR="007654FB" w:rsidRPr="008340EC">
        <w:rPr>
          <w:rFonts w:ascii="Times New Roman" w:hAnsi="Times New Roman" w:cs="Times New Roman"/>
          <w:sz w:val="24"/>
          <w:szCs w:val="24"/>
          <w14:ligatures w14:val="standardContextual"/>
        </w:rPr>
        <w:t>).</w:t>
      </w:r>
    </w:p>
    <w:p w14:paraId="35D55660" w14:textId="77413BB4" w:rsidR="007654FB" w:rsidRPr="008340EC" w:rsidRDefault="003568A7" w:rsidP="00D77AE1">
      <w:pPr>
        <w:pStyle w:val="P"/>
        <w:rPr>
          <w:rtl/>
          <w14:ligatures w14:val="standardContextual"/>
        </w:rPr>
      </w:pPr>
      <w:r w:rsidRPr="008340EC">
        <w:rPr>
          <w14:ligatures w14:val="standardContextual"/>
        </w:rPr>
        <w:t xml:space="preserve">On the other hand, Avcı </w:t>
      </w:r>
      <w:bookmarkStart w:id="3" w:name="_Hlk203046116"/>
      <w:r w:rsidRPr="008340EC">
        <w:rPr>
          <w14:ligatures w14:val="standardContextual"/>
        </w:rPr>
        <w:t xml:space="preserve">and his colleagues </w:t>
      </w:r>
      <w:bookmarkEnd w:id="3"/>
      <w:r w:rsidR="007654FB" w:rsidRPr="008340EC">
        <w:rPr>
          <w14:ligatures w14:val="standardContextual"/>
        </w:rPr>
        <w:t>reported that HCC can present with normal AFP levels, and treatment should be based on patient factors beyond just biomarkers as not all HCC tumors secrete AFP, and some tumors may be more highly differentiated, which can lead to lower AFP levels</w:t>
      </w:r>
      <w:r w:rsidR="001A1C67" w:rsidRPr="008340EC">
        <w:rPr>
          <w14:ligatures w14:val="standardContextual"/>
        </w:rPr>
        <w:t xml:space="preserve"> </w:t>
      </w:r>
      <w:r w:rsidR="000D3646" w:rsidRPr="008340EC">
        <w:rPr>
          <w14:ligatures w14:val="standardContextual"/>
        </w:rPr>
        <w:t>(35</w:t>
      </w:r>
      <w:r w:rsidR="001A1C67" w:rsidRPr="008340EC">
        <w:rPr>
          <w14:ligatures w14:val="standardContextual"/>
        </w:rPr>
        <w:t>).</w:t>
      </w:r>
    </w:p>
    <w:p w14:paraId="545F8461" w14:textId="2952819E" w:rsidR="00C41BE6" w:rsidRPr="008340EC" w:rsidRDefault="003568A7" w:rsidP="007654FB">
      <w:pPr>
        <w:pStyle w:val="P"/>
        <w:rPr>
          <w14:ligatures w14:val="standardContextual"/>
        </w:rPr>
      </w:pPr>
      <w:r>
        <w:rPr>
          <w14:ligatures w14:val="standardContextual"/>
        </w:rPr>
        <w:t xml:space="preserve">Regarding the liver profile, in this study both ALT and AST levels were significantly elevated in cirrhotic patients with HCC (ALT: 55.10 ± 38.88 U/L and AST: 57.78 ± 28.92 U/L) compared to those without HCC (ALT: 28.40 ± 15.24 U/L and AST: 28.83 ± 16.62 U/L, p &lt; 0.001 for both) (Table 2). </w:t>
      </w:r>
    </w:p>
    <w:p w14:paraId="6F665F77" w14:textId="2A8E1F46" w:rsidR="00C41BE6" w:rsidRDefault="000D3646" w:rsidP="00EC2897">
      <w:pPr>
        <w:pStyle w:val="P"/>
      </w:pPr>
      <w:r w:rsidRPr="000D3646">
        <w:rPr>
          <w14:ligatures w14:val="standardContextual"/>
        </w:rPr>
        <w:t>These results are in agreement with other studies that showed that ALT and AST levels were higher in HCC patients than in cirrhotic patients without HCC (p value &lt; 0.001).  This can be attributed to hepatocellular injury that is the result of both viral infection and malignancy</w:t>
      </w:r>
      <w:r w:rsidR="003568A7">
        <w:rPr>
          <w14:ligatures w14:val="standardContextual"/>
        </w:rPr>
        <w:fldChar w:fldCharType="begin"/>
      </w:r>
      <w:r w:rsidR="003568A7">
        <w:rPr>
          <w14:ligatures w14:val="standardContextual"/>
        </w:rPr>
        <w:instrText xml:space="preserve"> ADDIN EN.CITE </w:instrText>
      </w:r>
      <w:r w:rsidR="003568A7">
        <w:rPr>
          <w14:ligatures w14:val="standardContextual"/>
        </w:rPr>
        <w:fldChar w:fldCharType="begin"/>
      </w:r>
      <w:r w:rsidR="003568A7">
        <w:rPr>
          <w14:ligatures w14:val="standardContextual"/>
        </w:rPr>
        <w:instrText xml:space="preserve"> ADDIN EN.CITE.DATA </w:instrText>
      </w:r>
      <w:r w:rsidR="003568A7">
        <w:rPr>
          <w14:ligatures w14:val="standardContextual"/>
        </w:rPr>
        <w:fldChar w:fldCharType="end"/>
      </w:r>
      <w:r w:rsidR="003568A7">
        <w:rPr>
          <w14:ligatures w14:val="standardContextual"/>
        </w:rPr>
        <w:fldChar w:fldCharType="separate"/>
      </w:r>
      <w:r w:rsidR="003568A7">
        <w:rPr>
          <w:noProof/>
          <w14:ligatures w14:val="standardContextual"/>
        </w:rPr>
        <w:t>(36, 37)</w:t>
      </w:r>
      <w:r w:rsidR="003568A7">
        <w:rPr>
          <w14:ligatures w14:val="standardContextual"/>
        </w:rPr>
        <w:fldChar w:fldCharType="end"/>
      </w:r>
      <w:r w:rsidR="003568A7">
        <w:rPr>
          <w14:ligatures w14:val="standardContextual"/>
        </w:rPr>
        <w:t>.</w:t>
      </w:r>
    </w:p>
    <w:p w14:paraId="45695D74" w14:textId="77777777" w:rsidR="00C41BE6" w:rsidRDefault="003568A7">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In this study, the majority of cirrhotic patients with HCC and without HCC were child B with higher incidence in HCC group rather than cirrhotic group (82.5% vs 42.5% respectively) with stati</w:t>
      </w:r>
      <w:r w:rsidR="008340EC">
        <w:rPr>
          <w:rFonts w:ascii="Times New Roman" w:hAnsi="Times New Roman" w:cs="Times New Roman"/>
          <w:sz w:val="24"/>
          <w:szCs w:val="24"/>
          <w14:ligatures w14:val="standardContextual"/>
        </w:rPr>
        <w:t>stically significant difference (F</w:t>
      </w:r>
      <w:r w:rsidR="00EC2897">
        <w:rPr>
          <w:rFonts w:ascii="Times New Roman" w:hAnsi="Times New Roman" w:cs="Times New Roman"/>
          <w:sz w:val="24"/>
          <w:szCs w:val="24"/>
          <w14:ligatures w14:val="standardContextual"/>
        </w:rPr>
        <w:t>igure</w:t>
      </w:r>
      <w:r w:rsidR="008340EC">
        <w:rPr>
          <w:rFonts w:ascii="Times New Roman" w:hAnsi="Times New Roman" w:cs="Times New Roman"/>
          <w:sz w:val="24"/>
          <w:szCs w:val="24"/>
          <w14:ligatures w14:val="standardContextual"/>
        </w:rPr>
        <w:t>1</w:t>
      </w:r>
      <w:r w:rsidR="00EC2897">
        <w:rPr>
          <w:rFonts w:ascii="Times New Roman" w:hAnsi="Times New Roman" w:cs="Times New Roman"/>
          <w:sz w:val="24"/>
          <w:szCs w:val="24"/>
          <w14:ligatures w14:val="standardContextual"/>
        </w:rPr>
        <w:t>).</w:t>
      </w:r>
      <w:r>
        <w:rPr>
          <w:rFonts w:ascii="Times New Roman" w:hAnsi="Times New Roman" w:cs="Times New Roman"/>
          <w:sz w:val="24"/>
          <w:szCs w:val="24"/>
          <w14:ligatures w14:val="standardContextual"/>
        </w:rPr>
        <w:t xml:space="preserve"> This suggests that cirrhotic patients with HCC tend to have a more advanced stage of cirrhosis (predominantly in Child Class B)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(38)</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 xml:space="preserve">. Similar study supported this finding as most of HCC patients were child B (57%), as they observed that patients with HCC often present with more severe liver dysfunction, likely due to the progression of underlying cirrhosis and the increased metabolic burden imposed by the tumor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(39)</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 xml:space="preserve">. This also aligned with the known association between advanced cirrhosis and the development of HCC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(38)</w:t>
      </w:r>
      <w:r>
        <w:rPr>
          <w:rFonts w:ascii="Times New Roman" w:hAnsi="Times New Roman" w:cs="Times New Roman"/>
          <w:sz w:val="24"/>
          <w:szCs w:val="24"/>
          <w14:ligatures w14:val="standardContextual"/>
        </w:rPr>
        <w:fldChar w:fldCharType="end"/>
      </w:r>
      <w:r w:rsidR="00EC2897">
        <w:rPr>
          <w:rFonts w:ascii="Times New Roman" w:hAnsi="Times New Roman" w:cs="Times New Roman"/>
          <w:sz w:val="24"/>
          <w:szCs w:val="24"/>
          <w14:ligatures w14:val="standardContextual"/>
        </w:rPr>
        <w:t>.</w:t>
      </w:r>
    </w:p>
    <w:p w14:paraId="7633037A" w14:textId="27D5A54F" w:rsidR="00C41BE6" w:rsidRDefault="000120A0" w:rsidP="00EC2897">
      <w:pPr>
        <w:spacing w:before="240" w:after="0" w:line="240" w:lineRule="auto"/>
        <w:jc w:val="lowKashida"/>
        <w:rPr>
          <w:rFonts w:ascii="Times New Roman" w:hAnsi="Times New Roman" w:cs="Times New Roman"/>
          <w:sz w:val="24"/>
          <w:szCs w:val="24"/>
          <w14:ligatures w14:val="standardContextual"/>
        </w:rPr>
      </w:pPr>
      <w:r w:rsidRPr="000120A0">
        <w:rPr>
          <w:rFonts w:ascii="Times New Roman" w:hAnsi="Times New Roman" w:cs="Times New Roman"/>
          <w:sz w:val="24"/>
          <w:szCs w:val="24"/>
          <w14:ligatures w14:val="standardContextual"/>
        </w:rPr>
        <w:t xml:space="preserve">The Barcelona staging system classified the majority of cirrhotic patients with HCC as Stage A (87.5%), followed by Stage D (12.5%) in the present study.  This implies that the preponderance of HCC patients </w:t>
      </w:r>
      <w:r w:rsidR="008F7EBA" w:rsidRPr="000120A0">
        <w:rPr>
          <w:rFonts w:ascii="Times New Roman" w:hAnsi="Times New Roman" w:cs="Times New Roman"/>
          <w:sz w:val="24"/>
          <w:szCs w:val="24"/>
          <w14:ligatures w14:val="standardContextual"/>
        </w:rPr>
        <w:t>was</w:t>
      </w:r>
      <w:r w:rsidRPr="000120A0">
        <w:rPr>
          <w:rFonts w:ascii="Times New Roman" w:hAnsi="Times New Roman" w:cs="Times New Roman"/>
          <w:sz w:val="24"/>
          <w:szCs w:val="24"/>
          <w14:ligatures w14:val="standardContextual"/>
        </w:rPr>
        <w:t xml:space="preserve"> in the early phases of the disease (Figure 2). This outcome was consistent with the findings of </w:t>
      </w:r>
      <w:r w:rsidRPr="000120A0">
        <w:rPr>
          <w:rFonts w:ascii="Times New Roman" w:hAnsi="Times New Roman" w:cs="Times New Roman"/>
          <w:b/>
          <w:bCs/>
          <w:sz w:val="24"/>
          <w:szCs w:val="24"/>
          <w14:ligatures w14:val="standardContextual"/>
        </w:rPr>
        <w:t>Khursheed and Khan</w:t>
      </w:r>
      <w:r w:rsidRPr="000120A0">
        <w:rPr>
          <w:rFonts w:ascii="Times New Roman" w:hAnsi="Times New Roman" w:cs="Times New Roman"/>
          <w:sz w:val="24"/>
          <w:szCs w:val="24"/>
          <w14:ligatures w14:val="standardContextual"/>
        </w:rPr>
        <w:t>, who determined that the majority of cirrhotic patients with HCC were classified as Stage A (77%) and Stage D (16%)</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&lt;EndNote&gt;&lt;Cite&gt;&lt;Author&gt;Khursheed&lt;/Author&gt;&lt;Year&gt;2024&lt;/Year&gt;&lt;RecNum&gt;38&lt;/RecNum&gt;&lt;DisplayText&gt;(40)&lt;/DisplayText&gt;&lt;record&gt;&lt;rec-number&gt;38&lt;/rec-number&gt;&lt;foreign-keys&gt;&lt;key app="EN" db-id="zsx905w2ww2r0pepe0dvsse7s9edtx2atfdf" timestamp="1752155912"&gt;38&lt;/key&gt;&lt;/foreign-keys&gt;&lt;ref-type name="Journal Article"&gt;17&lt;/ref-type&gt;&lt;contributors&gt;&lt;authors&gt;&lt;author&gt;Khursheed, Asfia Arham&lt;/author&gt;&lt;author&gt;Khan, Muhammad Rizwan&lt;/author&gt;&lt;/authors&gt;&lt;/contributors&gt;&lt;titles&gt;&lt;title&gt;Early detection of HCC in patients with cirrhosis using AI; a Systematic Review&lt;/title&gt;&lt;secondary-title&gt;J Pak Med Assoc&lt;/secondary-title&gt;&lt;/titles&gt;&lt;periodical&gt;&lt;full-title&gt;J Pak Med Assoc&lt;/full-title&gt;&lt;/periodical&gt;&lt;pages&gt;29-36&lt;/pages&gt;&lt;volume&gt;74&lt;/volume&gt;&lt;number&gt;4&lt;/number&gt;&lt;dates&gt;&lt;year&gt;2024&lt;/year&gt;&lt;/dates&gt;&lt;isbn&gt;0030-9982&lt;/isbn&gt;&lt;urls&gt;&lt;/urls&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(40)</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 xml:space="preserve">.  </w:t>
      </w:r>
    </w:p>
    <w:p w14:paraId="1E196572" w14:textId="601FB096" w:rsidR="00C41BE6" w:rsidRDefault="009E5DF2" w:rsidP="00EC2897">
      <w:pPr>
        <w:spacing w:before="240" w:after="0" w:line="240" w:lineRule="auto"/>
        <w:jc w:val="lowKashida"/>
        <w:rPr>
          <w:rFonts w:ascii="Times New Roman" w:hAnsi="Times New Roman" w:cs="Times New Roman"/>
          <w:sz w:val="24"/>
          <w:szCs w:val="24"/>
          <w14:ligatures w14:val="standardContextual"/>
        </w:rPr>
      </w:pPr>
      <w:r w:rsidRPr="009E5DF2">
        <w:rPr>
          <w:rFonts w:ascii="Times New Roman" w:hAnsi="Times New Roman" w:cs="Times New Roman"/>
          <w:sz w:val="24"/>
          <w:szCs w:val="24"/>
          <w14:ligatures w14:val="standardContextual"/>
        </w:rPr>
        <w:t>Cirrhotic patients without HCC exhibited a significantly higher mean serum PDGFR-β level than HCC patients (1186.4 ± 544.1 vs 565.8 ± 297.7 pg/ml, respectively) in the present study (p value &lt; 0.001).  (Table</w:t>
      </w:r>
      <w:r>
        <w:rPr>
          <w:rFonts w:ascii="Times New Roman" w:hAnsi="Times New Roman" w:cs="Times New Roman"/>
          <w:sz w:val="24"/>
          <w:szCs w:val="24"/>
          <w14:ligatures w14:val="standardContextual"/>
        </w:rPr>
        <w:t xml:space="preserve"> 3</w:t>
      </w:r>
      <w:r w:rsidRPr="009E5DF2">
        <w:rPr>
          <w:rFonts w:ascii="Times New Roman" w:hAnsi="Times New Roman" w:cs="Times New Roman"/>
          <w:sz w:val="24"/>
          <w:szCs w:val="24"/>
          <w14:ligatures w14:val="standardContextual"/>
        </w:rPr>
        <w:t>)</w:t>
      </w:r>
      <w:r w:rsidR="000D3646">
        <w:rPr>
          <w:rFonts w:ascii="Times New Roman" w:hAnsi="Times New Roman" w:cs="Times New Roman"/>
          <w:b/>
          <w:bCs/>
          <w:sz w:val="24"/>
          <w:szCs w:val="24"/>
          <w14:ligatures w14:val="standardContextual"/>
        </w:rPr>
        <w:t>Lambrecht</w:t>
      </w:r>
      <w:r w:rsidR="003568A7">
        <w:rPr>
          <w:rFonts w:ascii="Times New Roman" w:hAnsi="Times New Roman" w:cs="Times New Roman"/>
          <w:b/>
          <w:bCs/>
          <w:sz w:val="24"/>
          <w:szCs w:val="24"/>
          <w14:ligatures w14:val="standardContextual"/>
        </w:rPr>
        <w:t xml:space="preserve"> and his colleagues</w:t>
      </w:r>
      <w:r w:rsidR="003568A7">
        <w:rPr>
          <w:rFonts w:ascii="Times New Roman" w:hAnsi="Times New Roman" w:cs="Times New Roman"/>
          <w:sz w:val="24"/>
          <w:szCs w:val="24"/>
          <w14:ligatures w14:val="standardContextual"/>
        </w:rPr>
        <w:t xml:space="preserve"> </w:t>
      </w:r>
      <w:r w:rsidR="008F7EBA" w:rsidRPr="008F7EBA">
        <w:rPr>
          <w:rFonts w:ascii="Times New Roman" w:hAnsi="Times New Roman" w:cs="Times New Roman"/>
          <w:sz w:val="24"/>
          <w:szCs w:val="24"/>
          <w14:ligatures w14:val="standardContextual"/>
        </w:rPr>
        <w:t>The p-value was less than 0.0001 when the article reported that the serum PDGFR-β level was significantly higher in cirrhotic patients without HCC than in HCC patients (8562 pg/ml vs 6767 pg/ml, respectively</w:t>
      </w:r>
      <w:r w:rsidR="000D3646" w:rsidRPr="008F7EBA">
        <w:rPr>
          <w:rFonts w:ascii="Times New Roman" w:hAnsi="Times New Roman" w:cs="Times New Roman"/>
          <w:sz w:val="24"/>
          <w:szCs w:val="24"/>
          <w14:ligatures w14:val="standardContextual"/>
        </w:rPr>
        <w:t>).</w:t>
      </w:r>
      <w:r w:rsidR="000D3646" w:rsidRPr="00216F53">
        <w:rPr>
          <w:rFonts w:ascii="Times New Roman" w:hAnsi="Times New Roman" w:cs="Times New Roman"/>
          <w:sz w:val="24"/>
          <w:szCs w:val="24"/>
          <w14:ligatures w14:val="standardContextual"/>
        </w:rPr>
        <w:t xml:space="preserve"> This</w:t>
      </w:r>
      <w:r w:rsidR="00216F53" w:rsidRPr="00216F53">
        <w:rPr>
          <w:rFonts w:ascii="Times New Roman" w:hAnsi="Times New Roman" w:cs="Times New Roman"/>
          <w:sz w:val="24"/>
          <w:szCs w:val="24"/>
          <w14:ligatures w14:val="standardContextual"/>
        </w:rPr>
        <w:t xml:space="preserve"> was also consistent with another study that was conducted on the HCC population. The study found that the PDGFR-β serum level was significantly higher (p = 0.002) in liver fibrosis and cirrhosis (6587 pg/ml) but tends to decrease once HCC has developed (4365 pg/ml). This underscored the potential association between PDGFR-β and the progression of fibrosis, but less so in advanced liver cancer</w:t>
      </w:r>
      <w:r w:rsidR="00216F53">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w:instrTex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EN.CITE.DATA </w:instrTex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(12)</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4F557F49" w14:textId="77777777" w:rsidR="00C41BE6" w:rsidRDefault="003568A7" w:rsidP="00A5113D">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lastRenderedPageBreak/>
        <w:t xml:space="preserve">Contrarily, </w:t>
      </w:r>
      <w:r>
        <w:rPr>
          <w:rFonts w:ascii="Times New Roman" w:hAnsi="Times New Roman" w:cs="Times New Roman"/>
          <w:b/>
          <w:bCs/>
          <w:sz w:val="24"/>
          <w:szCs w:val="24"/>
          <w14:ligatures w14:val="standardContextual"/>
        </w:rPr>
        <w:t>Wei and his colleagues</w:t>
      </w:r>
      <w:r>
        <w:rPr>
          <w:rFonts w:ascii="Times New Roman" w:hAnsi="Times New Roman" w:cs="Times New Roman"/>
          <w:sz w:val="24"/>
          <w:szCs w:val="24"/>
          <w14:ligatures w14:val="standardContextual"/>
        </w:rPr>
        <w:t xml:space="preserve"> reported that PDGFR-β levels  significantly higher in advanced HCC cases with (p value &lt;0.001) due to the continued role of the PDGFR signaling pathway in tumor angiogenesis and metastasis ,this difference in the result may be explained by the pati</w:t>
      </w:r>
      <w:r w:rsidR="003F49E3">
        <w:rPr>
          <w:rFonts w:ascii="Times New Roman" w:hAnsi="Times New Roman" w:cs="Times New Roman"/>
          <w:sz w:val="24"/>
          <w:szCs w:val="24"/>
          <w14:ligatures w14:val="standardContextual"/>
        </w:rPr>
        <w:t>ents selected in the study as they</w:t>
      </w:r>
      <w:r>
        <w:rPr>
          <w:rFonts w:ascii="Times New Roman" w:hAnsi="Times New Roman" w:cs="Times New Roman"/>
          <w:sz w:val="24"/>
          <w:szCs w:val="24"/>
          <w14:ligatures w14:val="standardContextual"/>
        </w:rPr>
        <w:t xml:space="preserve"> included advanced HCC with distant invasion which excluded in the current study </w:t>
      </w:r>
      <w:r w:rsidR="00A5113D">
        <w:rPr>
          <w:rFonts w:ascii="Times New Roman" w:hAnsi="Times New Roman" w:cs="Times New Roman"/>
          <w:sz w:val="24"/>
          <w:szCs w:val="24"/>
          <w14:ligatures w14:val="standardContextual"/>
        </w:rPr>
        <w:t xml:space="preserve"> also by different </w:t>
      </w:r>
      <w:proofErr w:type="spellStart"/>
      <w:r w:rsidR="00A5113D">
        <w:rPr>
          <w:rFonts w:ascii="Times New Roman" w:hAnsi="Times New Roman" w:cs="Times New Roman"/>
          <w:sz w:val="24"/>
          <w:szCs w:val="24"/>
          <w14:ligatures w14:val="standardContextual"/>
        </w:rPr>
        <w:t>et</w:t>
      </w:r>
      <w:r w:rsidR="00EC2897">
        <w:rPr>
          <w:rFonts w:ascii="Times New Roman" w:hAnsi="Times New Roman" w:cs="Times New Roman"/>
          <w:sz w:val="24"/>
          <w:szCs w:val="24"/>
          <w14:ligatures w14:val="standardContextual"/>
        </w:rPr>
        <w:t>hinicity</w:t>
      </w:r>
      <w:proofErr w:type="spellEnd"/>
      <w:r w:rsidR="00EC2897">
        <w:rPr>
          <w:rFonts w:ascii="Times New Roman" w:hAnsi="Times New Roman" w:cs="Times New Roman"/>
          <w:sz w:val="24"/>
          <w:szCs w:val="24"/>
          <w14:ligatures w14:val="standardContextual"/>
        </w:rPr>
        <w:t xml:space="preserve"> as they </w:t>
      </w:r>
      <w:r w:rsidR="008340EC">
        <w:rPr>
          <w:rFonts w:ascii="Times New Roman" w:hAnsi="Times New Roman" w:cs="Times New Roman"/>
          <w:sz w:val="24"/>
          <w:szCs w:val="24"/>
          <w14:ligatures w14:val="standardContextual"/>
        </w:rPr>
        <w:t>conducted thei</w:t>
      </w:r>
      <w:r w:rsidR="00EC2897">
        <w:rPr>
          <w:rFonts w:ascii="Times New Roman" w:hAnsi="Times New Roman" w:cs="Times New Roman"/>
          <w:sz w:val="24"/>
          <w:szCs w:val="24"/>
          <w14:ligatures w14:val="standardContextual"/>
        </w:rPr>
        <w:t>r</w:t>
      </w:r>
      <w:r>
        <w:rPr>
          <w:rFonts w:ascii="Times New Roman" w:hAnsi="Times New Roman" w:cs="Times New Roman"/>
          <w:sz w:val="24"/>
          <w:szCs w:val="24"/>
          <w14:ligatures w14:val="standardContextual"/>
        </w:rPr>
        <w:t xml:space="preserve"> study on Chinese patients and  larger sample size (177 HCC and 140 cirrhotic)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(41)</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w:t>
      </w:r>
    </w:p>
    <w:p w14:paraId="1E00E831" w14:textId="301C680C" w:rsidR="00C41BE6" w:rsidRDefault="009E5DF2">
      <w:pPr>
        <w:spacing w:before="240" w:after="0" w:line="240" w:lineRule="auto"/>
        <w:jc w:val="lowKashida"/>
        <w:rPr>
          <w:rFonts w:ascii="Times New Roman" w:hAnsi="Times New Roman" w:cs="Times New Roman"/>
          <w:sz w:val="24"/>
          <w:szCs w:val="24"/>
          <w14:ligatures w14:val="standardContextual"/>
        </w:rPr>
      </w:pPr>
      <w:r w:rsidRPr="009E5DF2">
        <w:rPr>
          <w:rFonts w:ascii="Times New Roman" w:hAnsi="Times New Roman" w:cs="Times New Roman"/>
          <w:sz w:val="24"/>
          <w:szCs w:val="24"/>
          <w14:ligatures w14:val="standardContextual"/>
        </w:rPr>
        <w:t>In the current study, the mean APAC score was markedly higher in cirrhotic patients with HCC than in those without HCC (6.32 ± 3.17 vs 1.67 ± 1.90, respectively) (p-value &lt; 0.001) (Tab. 3).</w:t>
      </w:r>
      <w:r w:rsidR="000D3646">
        <w:rPr>
          <w:rFonts w:ascii="Times New Roman" w:hAnsi="Times New Roman" w:cs="Times New Roman"/>
          <w:sz w:val="24"/>
          <w:szCs w:val="24"/>
          <w14:ligatures w14:val="standardContextual"/>
        </w:rPr>
        <w:t>This</w:t>
      </w:r>
      <w:r w:rsidR="003568A7">
        <w:rPr>
          <w:rFonts w:ascii="Times New Roman" w:hAnsi="Times New Roman" w:cs="Times New Roman"/>
          <w:sz w:val="24"/>
          <w:szCs w:val="24"/>
          <w14:ligatures w14:val="standardContextual"/>
        </w:rPr>
        <w:t xml:space="preserve"> was in the line with </w:t>
      </w:r>
      <w:r w:rsidR="003568A7">
        <w:rPr>
          <w:rFonts w:ascii="Times New Roman" w:hAnsi="Times New Roman" w:cs="Times New Roman"/>
          <w:b/>
          <w:bCs/>
          <w:sz w:val="24"/>
          <w:szCs w:val="24"/>
          <w14:ligatures w14:val="standardContextual"/>
        </w:rPr>
        <w:t>Lambrecht and his colleagues</w:t>
      </w:r>
      <w:r w:rsidR="003568A7">
        <w:rPr>
          <w:rFonts w:ascii="Times New Roman" w:hAnsi="Times New Roman" w:cs="Times New Roman"/>
          <w:sz w:val="24"/>
          <w:szCs w:val="24"/>
          <w14:ligatures w14:val="standardContextual"/>
        </w:rPr>
        <w:t xml:space="preserve"> </w:t>
      </w:r>
      <w:r w:rsidR="000D3646" w:rsidRPr="000D3646">
        <w:rPr>
          <w:rFonts w:ascii="Times New Roman" w:hAnsi="Times New Roman" w:cs="Times New Roman"/>
          <w:sz w:val="24"/>
          <w:szCs w:val="24"/>
          <w14:ligatures w14:val="standardContextual"/>
        </w:rPr>
        <w:t>Who discovered that the APAC score was considerably higher in cirrhotic patients with HCC (p value &lt; 0.0001) than in those without HCC, with a mean of (5.21 ± 1.43 vs 1.56 ± 1.62, respectively).</w:t>
      </w:r>
      <w:r w:rsidRPr="009E5DF2">
        <w:t xml:space="preserve"> </w:t>
      </w:r>
      <w:r w:rsidRPr="009E5DF2">
        <w:rPr>
          <w:rFonts w:ascii="Times New Roman" w:hAnsi="Times New Roman" w:cs="Times New Roman"/>
          <w:sz w:val="24"/>
          <w:szCs w:val="24"/>
          <w14:ligatures w14:val="standardContextual"/>
        </w:rPr>
        <w:t>The increased APAC score in cirrhotic patients with HCC may be attributed to elevated liver dysfunction as a result of the tumor burden, as well as additional complications like portal hypertension and impaired hepatic synthetic function.  The APAC score is a robust predictor of mortality and complications in cirrhosis, and its elevation in patients with HCC is associated with a poor prognosis</w:t>
      </w:r>
      <w:r>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w:instrTex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EN.CITE.DATA </w:instrTex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(12)</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23D85D05" w14:textId="3D01D5CB" w:rsidR="00C41BE6" w:rsidRDefault="003568A7">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Among cirrhotic patients with HCC, PDGFR-β had highly statistically significant negative correlations with ALT level as well as Maximum diame</w:t>
      </w:r>
      <w:r w:rsidR="00A41F6F">
        <w:rPr>
          <w:rFonts w:ascii="Times New Roman" w:hAnsi="Times New Roman" w:cs="Times New Roman"/>
          <w:sz w:val="24"/>
          <w:szCs w:val="24"/>
          <w14:ligatures w14:val="standardContextual"/>
        </w:rPr>
        <w:t xml:space="preserve">ter focal lesion and APAC score </w:t>
      </w:r>
      <w:r w:rsidR="00225AB8">
        <w:rPr>
          <w:rFonts w:ascii="Times New Roman" w:hAnsi="Times New Roman" w:cs="Times New Roman"/>
          <w:sz w:val="24"/>
          <w:szCs w:val="24"/>
          <w14:ligatures w14:val="standardContextual"/>
        </w:rPr>
        <w:t>(table 4).</w:t>
      </w:r>
      <w:r>
        <w:rPr>
          <w:rFonts w:ascii="Times New Roman" w:hAnsi="Times New Roman" w:cs="Times New Roman"/>
          <w:sz w:val="24"/>
          <w:szCs w:val="24"/>
          <w14:ligatures w14:val="standardContextual"/>
        </w:rPr>
        <w:t xml:space="preserve">  Also, </w:t>
      </w:r>
      <w:r>
        <w:rPr>
          <w:rFonts w:ascii="Times New Roman" w:hAnsi="Times New Roman" w:cs="Times New Roman"/>
          <w:b/>
          <w:bCs/>
          <w:sz w:val="24"/>
          <w:szCs w:val="24"/>
          <w14:ligatures w14:val="standardContextual"/>
        </w:rPr>
        <w:t>Lambrecht and his colleagues</w:t>
      </w:r>
      <w:r>
        <w:rPr>
          <w:rFonts w:ascii="Times New Roman" w:hAnsi="Times New Roman" w:cs="Times New Roman"/>
          <w:sz w:val="24"/>
          <w:szCs w:val="24"/>
          <w14:ligatures w14:val="standardContextual"/>
        </w:rPr>
        <w:t xml:space="preserve"> </w:t>
      </w:r>
      <w:r w:rsidR="00216F53" w:rsidRPr="00216F53">
        <w:rPr>
          <w:rFonts w:ascii="Times New Roman" w:hAnsi="Times New Roman" w:cs="Times New Roman"/>
          <w:sz w:val="24"/>
          <w:szCs w:val="24"/>
          <w14:ligatures w14:val="standardContextual"/>
        </w:rPr>
        <w:t xml:space="preserve">Reported that there were </w:t>
      </w:r>
      <w:r w:rsidR="00DC6C60" w:rsidRPr="00DC6C60">
        <w:rPr>
          <w:rFonts w:ascii="Times New Roman" w:hAnsi="Times New Roman" w:cs="Times New Roman"/>
          <w:sz w:val="24"/>
          <w:szCs w:val="24"/>
          <w14:ligatures w14:val="standardContextual"/>
        </w:rPr>
        <w:t>significant</w:t>
      </w:r>
      <w:r w:rsidR="00DC6C60">
        <w:rPr>
          <w:rFonts w:ascii="Times New Roman" w:hAnsi="Times New Roman" w:cs="Times New Roman"/>
          <w:sz w:val="24"/>
          <w:szCs w:val="24"/>
          <w14:ligatures w14:val="standardContextual"/>
        </w:rPr>
        <w:t xml:space="preserve"> </w:t>
      </w:r>
      <w:r w:rsidR="00216F53" w:rsidRPr="00216F53">
        <w:rPr>
          <w:rFonts w:ascii="Times New Roman" w:hAnsi="Times New Roman" w:cs="Times New Roman"/>
          <w:sz w:val="24"/>
          <w:szCs w:val="24"/>
          <w14:ligatures w14:val="standardContextual"/>
        </w:rPr>
        <w:t xml:space="preserve">negative correlations between PDGFR-β and APAC score in HCC patients, but no significant correlations between PDGFR-β and ALT.  Because he conducted his study on cancer patients and used a distinct sample size (122 HCC and 145 cirrhotic), this may be explained by the difference in </w:t>
      </w:r>
      <w:proofErr w:type="spellStart"/>
      <w:r w:rsidR="00216F53" w:rsidRPr="00216F53">
        <w:rPr>
          <w:rFonts w:ascii="Times New Roman" w:hAnsi="Times New Roman" w:cs="Times New Roman"/>
          <w:sz w:val="24"/>
          <w:szCs w:val="24"/>
          <w14:ligatures w14:val="standardContextual"/>
        </w:rPr>
        <w:t>ethinicity</w:t>
      </w:r>
      <w:proofErr w:type="spellEnd"/>
      <w:r w:rsidR="00216F53">
        <w:rPr>
          <w:rFonts w:ascii="Times New Roman" w:hAnsi="Times New Roman" w:cs="Times New Roman"/>
          <w:sz w:val="24"/>
          <w:szCs w:val="24"/>
          <w14:ligatures w14:val="standardContextual"/>
        </w:rPr>
        <w:t xml:space="preserve">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(12)</w:t>
      </w:r>
      <w:r>
        <w:rPr>
          <w:rFonts w:ascii="Times New Roman" w:hAnsi="Times New Roman" w:cs="Times New Roman"/>
          <w:sz w:val="24"/>
          <w:szCs w:val="24"/>
          <w14:ligatures w14:val="standardContextual"/>
        </w:rPr>
        <w:fldChar w:fldCharType="end"/>
      </w:r>
      <w:r w:rsidR="00225AB8">
        <w:rPr>
          <w:rFonts w:ascii="Times New Roman" w:hAnsi="Times New Roman" w:cs="Times New Roman"/>
          <w:sz w:val="24"/>
          <w:szCs w:val="24"/>
          <w14:ligatures w14:val="standardContextual"/>
        </w:rPr>
        <w:t xml:space="preserve"> </w:t>
      </w:r>
    </w:p>
    <w:p w14:paraId="3E754BA7" w14:textId="6A3265AF" w:rsidR="00C41BE6" w:rsidRDefault="00216F53" w:rsidP="00225AB8">
      <w:pPr>
        <w:spacing w:before="240" w:after="0" w:line="240" w:lineRule="auto"/>
        <w:jc w:val="lowKashida"/>
        <w:rPr>
          <w:rFonts w:ascii="Times New Roman" w:hAnsi="Times New Roman" w:cs="Times New Roman"/>
          <w:sz w:val="24"/>
          <w:szCs w:val="24"/>
          <w14:ligatures w14:val="standardContextual"/>
        </w:rPr>
      </w:pPr>
      <w:r w:rsidRPr="00216F53">
        <w:rPr>
          <w:rFonts w:ascii="Times New Roman" w:hAnsi="Times New Roman" w:cs="Times New Roman"/>
          <w:sz w:val="24"/>
          <w:szCs w:val="24"/>
          <w14:ligatures w14:val="standardContextual"/>
        </w:rPr>
        <w:t>The APAC score, ALT level, and maximal diameter of focal lesion in cirrhotic patients with HCC showed a significant positive correlation in the current study (table 4).</w:t>
      </w:r>
      <w:r w:rsidR="003568A7">
        <w:rPr>
          <w:rFonts w:ascii="Times New Roman" w:hAnsi="Times New Roman" w:cs="Times New Roman"/>
          <w:sz w:val="24"/>
          <w:szCs w:val="24"/>
          <w14:ligatures w14:val="standardContextual"/>
        </w:rPr>
        <w:t xml:space="preserve">These finding was supported by </w:t>
      </w:r>
      <w:r w:rsidR="003568A7">
        <w:rPr>
          <w:rFonts w:ascii="Times New Roman" w:hAnsi="Times New Roman" w:cs="Times New Roman"/>
          <w:b/>
          <w:bCs/>
          <w:sz w:val="24"/>
          <w:szCs w:val="24"/>
          <w14:ligatures w14:val="standardContextual"/>
        </w:rPr>
        <w:t>Lambrecht</w:t>
      </w:r>
      <w:r w:rsidR="00B3158B">
        <w:rPr>
          <w:rFonts w:ascii="Times New Roman" w:hAnsi="Times New Roman" w:cs="Times New Roman"/>
          <w:b/>
          <w:bCs/>
          <w:sz w:val="24"/>
          <w:szCs w:val="24"/>
          <w14:ligatures w14:val="standardContextual"/>
        </w:rPr>
        <w:t xml:space="preserve"> and his colleagues</w:t>
      </w:r>
      <w:r>
        <w:rPr>
          <w:rFonts w:ascii="Times New Roman" w:hAnsi="Times New Roman" w:cs="Times New Roman"/>
          <w:sz w:val="24"/>
          <w:szCs w:val="24"/>
          <w14:ligatures w14:val="standardContextual"/>
        </w:rPr>
        <w:t xml:space="preserve"> </w:t>
      </w:r>
      <w:r w:rsidR="000D3646" w:rsidRPr="000D3646">
        <w:rPr>
          <w:rFonts w:ascii="Times New Roman" w:hAnsi="Times New Roman" w:cs="Times New Roman"/>
          <w:sz w:val="24"/>
          <w:szCs w:val="24"/>
          <w14:ligatures w14:val="standardContextual"/>
        </w:rPr>
        <w:t>the APAC score and the maximal diameter of the focal lesion in the investigated groups exhibited a significant positive correlation</w:t>
      </w:r>
      <w:r w:rsidRPr="00216F53">
        <w:rPr>
          <w:rFonts w:ascii="Times New Roman" w:hAnsi="Times New Roman" w:cs="Times New Roman"/>
          <w:sz w:val="24"/>
          <w:szCs w:val="24"/>
          <w14:ligatures w14:val="standardContextual"/>
        </w:rPr>
        <w:t xml:space="preserve"> </w:t>
      </w:r>
      <w:r w:rsidR="00225AB8">
        <w:rPr>
          <w:rFonts w:ascii="Times New Roman" w:hAnsi="Times New Roman" w:cs="Times New Roman"/>
          <w:sz w:val="24"/>
          <w:szCs w:val="24"/>
          <w14:ligatures w14:val="standardContextual"/>
        </w:rPr>
        <w:t>(12).</w:t>
      </w:r>
    </w:p>
    <w:p w14:paraId="0B37F866" w14:textId="3DF89A22" w:rsidR="009E5DF2" w:rsidRDefault="009E5DF2" w:rsidP="00225AB8">
      <w:pPr>
        <w:spacing w:before="240" w:after="0" w:line="240" w:lineRule="auto"/>
        <w:jc w:val="lowKashida"/>
        <w:rPr>
          <w:rFonts w:ascii="Times New Roman" w:hAnsi="Times New Roman" w:cs="Times New Roman"/>
          <w:sz w:val="24"/>
          <w:szCs w:val="24"/>
          <w14:ligatures w14:val="standardContextual"/>
        </w:rPr>
      </w:pPr>
      <w:r w:rsidRPr="009E5DF2">
        <w:rPr>
          <w:rFonts w:ascii="Times New Roman" w:hAnsi="Times New Roman" w:cs="Times New Roman"/>
          <w:sz w:val="24"/>
          <w:szCs w:val="24"/>
          <w14:ligatures w14:val="standardContextual"/>
        </w:rPr>
        <w:t xml:space="preserve">The APAC score and PDGFR-β exhibited a </w:t>
      </w:r>
      <w:r w:rsidR="00F65275" w:rsidRPr="009E5DF2">
        <w:rPr>
          <w:rFonts w:ascii="Times New Roman" w:hAnsi="Times New Roman" w:cs="Times New Roman"/>
          <w:sz w:val="24"/>
          <w:szCs w:val="24"/>
          <w14:ligatures w14:val="standardContextual"/>
        </w:rPr>
        <w:t>significant</w:t>
      </w:r>
      <w:r w:rsidRPr="009E5DF2">
        <w:rPr>
          <w:rFonts w:ascii="Times New Roman" w:hAnsi="Times New Roman" w:cs="Times New Roman"/>
          <w:sz w:val="24"/>
          <w:szCs w:val="24"/>
          <w14:ligatures w14:val="standardContextual"/>
        </w:rPr>
        <w:t xml:space="preserve"> negative correlation in both cirrhotic and noncirrhotic patients.</w:t>
      </w:r>
    </w:p>
    <w:p w14:paraId="2EBC0E59" w14:textId="2A0D8258" w:rsidR="00C41BE6" w:rsidRDefault="009E5DF2" w:rsidP="00225AB8">
      <w:pPr>
        <w:spacing w:before="240" w:after="0" w:line="240" w:lineRule="auto"/>
        <w:jc w:val="lowKashida"/>
        <w:rPr>
          <w:rFonts w:ascii="Times New Roman" w:hAnsi="Times New Roman" w:cs="Times New Roman"/>
          <w:sz w:val="24"/>
          <w:szCs w:val="24"/>
          <w14:ligatures w14:val="standardContextual"/>
        </w:rPr>
      </w:pPr>
      <w:r w:rsidRPr="009E5DF2">
        <w:rPr>
          <w:rFonts w:ascii="Times New Roman" w:hAnsi="Times New Roman" w:cs="Times New Roman"/>
          <w:sz w:val="24"/>
          <w:szCs w:val="24"/>
          <w14:ligatures w14:val="standardContextual"/>
        </w:rPr>
        <w:t>According to the current study, AFP had a specificity of 82.5% and a sensitivity of 80% in the prediction of cirrhotic patients with HCC.     An AUC of 0.891 was determined by employing a cutoff value of 22 ng/ml or higher.     A p value of less than 0.001 was established to achieve statistically significant discrimination between cirrhotic patients with and without HCC (table 5)</w:t>
      </w:r>
      <w:r>
        <w:rPr>
          <w:rFonts w:ascii="Times New Roman" w:hAnsi="Times New Roman" w:cs="Times New Roman"/>
          <w:sz w:val="24"/>
          <w:szCs w:val="24"/>
          <w14:ligatures w14:val="standardContextual"/>
        </w:rPr>
        <w:t>.</w:t>
      </w:r>
      <w:r w:rsidR="003568A7">
        <w:rPr>
          <w:rFonts w:ascii="Times New Roman" w:hAnsi="Times New Roman" w:cs="Times New Roman"/>
          <w:sz w:val="24"/>
          <w:szCs w:val="24"/>
          <w14:ligatures w14:val="standardContextual"/>
        </w:rPr>
        <w:t xml:space="preserve">Also, </w:t>
      </w:r>
      <w:r w:rsidR="003568A7">
        <w:rPr>
          <w:rFonts w:ascii="Times New Roman" w:hAnsi="Times New Roman" w:cs="Times New Roman"/>
          <w:b/>
          <w:bCs/>
          <w:sz w:val="24"/>
          <w:szCs w:val="24"/>
          <w14:ligatures w14:val="standardContextual"/>
        </w:rPr>
        <w:t>Mehinovic and his colleagues</w:t>
      </w:r>
      <w:r w:rsidR="003568A7">
        <w:rPr>
          <w:rFonts w:ascii="Times New Roman" w:hAnsi="Times New Roman" w:cs="Times New Roman"/>
          <w:sz w:val="24"/>
          <w:szCs w:val="24"/>
          <w14:ligatures w14:val="standardContextual"/>
        </w:rPr>
        <w:t xml:space="preserve"> </w:t>
      </w:r>
      <w:r w:rsidR="00E758B5" w:rsidRPr="00E758B5">
        <w:rPr>
          <w:rFonts w:ascii="Times New Roman" w:hAnsi="Times New Roman" w:cs="Times New Roman"/>
          <w:sz w:val="24"/>
          <w:szCs w:val="24"/>
          <w14:ligatures w14:val="standardContextual"/>
        </w:rPr>
        <w:t>AFP has been confirmed to have a high diagnostic accuracy, particularly in advanced HCC stages, with a sensitivity and specificity of 81% and 86%, respectively, with an AUC of.887 and a cut-off value of 30 ng/ml</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&lt;EndNote&gt;&lt;Cite&gt;&lt;Author&gt;Mehinovic&lt;/Author&gt;&lt;Year&gt;2018&lt;/Year&gt;&lt;RecNum&gt;40&lt;/RecNum&gt;&lt;DisplayText&gt;(42)&lt;/DisplayText&gt;&lt;record&gt;&lt;rec-number&gt;40&lt;/rec-number&gt;&lt;foreign-keys&gt;&lt;key app="EN" db-id="zsx905w2ww2r0pepe0dvsse7s9edtx2atfdf" timestamp="1752155912"&gt;40&lt;/key&gt;&lt;/foreign-keys&gt;&lt;ref-type name="Journal Article"&gt;17&lt;/ref-type&gt;&lt;contributors&gt;&lt;authors&gt;&lt;author&gt;Mehinovic, L.&lt;/author&gt;&lt;author&gt;Islamagic, E.&lt;/author&gt;&lt;author&gt;Husic-Selimovic, A.&lt;/author&gt;&lt;author&gt;Kurtovic-Kozaric, A.&lt;/author&gt;&lt;author&gt;Vukobrat-Bijedic, Z.&lt;/author&gt;&lt;author&gt;Suljevic, D.&lt;/author&gt;&lt;/authors&gt;&lt;/contributors&gt;&lt;auth-address&gt;Department of Biology, Faculty of Science, University of Sarajevo, Sarajevo, Bosnia and Herzegovina.&amp;#xD;Clinic for Gastroenterohepatology, Clinical Center of the University of Sarajevo, Sarajevo, Bosnia and Herzegovina.&amp;#xD;Department of Clinical Pathology, Cytology and Human Genetics, Clinical Center of the University of Sarajevo, Sarajevo, Bosnia and Herzegovina.&amp;#xD;Polyclinic Al-Tawil, Sarajevo, Bosnia and Herzegovina.&lt;/auth-address&gt;&lt;titles&gt;&lt;title&gt;Evaluation of Diagnostic Efficiency of Alpha-Fetoprotein in Patients with Liver Cirrhosis and Hepatocellular Carcinoma: Single-Center Experience&lt;/title&gt;&lt;secondary-title&gt;Open Access Maced J Med Sci&lt;/secondary-title&gt;&lt;/titles&gt;&lt;periodical&gt;&lt;full-title&gt;Open Access Maced J Med Sci&lt;/full-title&gt;&lt;/periodical&gt;&lt;pages&gt;1668-1673&lt;/pages&gt;&lt;volume&gt;6&lt;/volume&gt;&lt;number&gt;9&lt;/number&gt;&lt;edition&gt;20180924&lt;/edition&gt;&lt;keywords&gt;&lt;keyword&gt;Afp&lt;/keyword&gt;&lt;keyword&gt;Hepatocellular carcinoma&lt;/keyword&gt;&lt;keyword&gt;Liver cirrhosis&lt;/keyword&gt;&lt;/keywords&gt;&lt;dates&gt;&lt;year&gt;2018&lt;/year&gt;&lt;pub-dates&gt;&lt;date&gt;Sep 25&lt;/date&gt;&lt;/pub-dates&gt;&lt;/dates&gt;&lt;isbn&gt;1857-9655 (Print)&amp;#xD;1857-9655&lt;/isbn&gt;&lt;accession-num&gt;30337985&lt;/accession-num&gt;&lt;urls&gt;&lt;/urls&gt;&lt;custom2&gt;PMC6182518&lt;/custom2&gt;&lt;electronic-resource-num&gt;10.3889/oamjms.2018.344&lt;/electronic-resource-num&gt;&lt;remote-database-provider&gt;NLM&lt;/remote-database-provider&gt;&lt;language&gt;eng&lt;/language&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(42)</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 xml:space="preserve">. </w:t>
      </w:r>
    </w:p>
    <w:p w14:paraId="7F7F3AA1" w14:textId="77777777" w:rsidR="00C41BE6" w:rsidRDefault="005722CB">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lastRenderedPageBreak/>
        <w:t xml:space="preserve">Also, </w:t>
      </w:r>
      <w:r w:rsidRPr="005722CB">
        <w:rPr>
          <w:rFonts w:ascii="Times New Roman" w:hAnsi="Times New Roman" w:cs="Times New Roman"/>
          <w:b/>
          <w:bCs/>
          <w:sz w:val="24"/>
          <w:szCs w:val="24"/>
          <w14:ligatures w14:val="standardContextual"/>
        </w:rPr>
        <w:t>Fares and his colleagues</w:t>
      </w:r>
      <w:r w:rsidR="003568A7">
        <w:rPr>
          <w:rFonts w:ascii="Times New Roman" w:hAnsi="Times New Roman" w:cs="Times New Roman"/>
          <w:sz w:val="24"/>
          <w:szCs w:val="24"/>
          <w14:ligatures w14:val="standardContextual"/>
        </w:rPr>
        <w:t xml:space="preserve"> highlighted AFP's utility, reporting that it remains one of the most widely accepted biomarkers for HCC monitoring and diagnosis with sensitivit</w:t>
      </w:r>
      <w:r>
        <w:rPr>
          <w:rFonts w:ascii="Times New Roman" w:hAnsi="Times New Roman" w:cs="Times New Roman"/>
          <w:sz w:val="24"/>
          <w:szCs w:val="24"/>
          <w14:ligatures w14:val="standardContextual"/>
        </w:rPr>
        <w:t xml:space="preserve">y and specificity were (83.5% and </w:t>
      </w:r>
      <w:r w:rsidR="003568A7">
        <w:rPr>
          <w:rFonts w:ascii="Times New Roman" w:hAnsi="Times New Roman" w:cs="Times New Roman"/>
          <w:sz w:val="24"/>
          <w:szCs w:val="24"/>
          <w14:ligatures w14:val="standardContextual"/>
        </w:rPr>
        <w:t xml:space="preserve">88% respectively)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w:instrTex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EN.CITE.DATA </w:instrTex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(43)</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4EF92B92" w14:textId="0FBEF990" w:rsidR="00C41BE6" w:rsidRDefault="005558B7" w:rsidP="005722CB">
      <w:pPr>
        <w:spacing w:before="240" w:after="0" w:line="240" w:lineRule="auto"/>
        <w:jc w:val="lowKashida"/>
        <w:rPr>
          <w:rFonts w:ascii="Times New Roman" w:hAnsi="Times New Roman" w:cs="Times New Roman"/>
          <w:sz w:val="24"/>
          <w:szCs w:val="24"/>
          <w14:ligatures w14:val="standardContextual"/>
        </w:rPr>
      </w:pPr>
      <w:r w:rsidRPr="005558B7">
        <w:rPr>
          <w:rFonts w:ascii="Times New Roman" w:hAnsi="Times New Roman" w:cs="Times New Roman"/>
          <w:sz w:val="24"/>
          <w:szCs w:val="24"/>
          <w14:ligatures w14:val="standardContextual"/>
        </w:rPr>
        <w:t>With an AUC of.831 and a cut-off value of ≤789.7 pg/ml, PDGFR-β was capable of predicting cirrhotic patients with HCC in this investigation.   77.5% was the sensitivity, while 72.5% was the specificity, as recorded in Table 5.    In addition, it was statistically capable of differentiating between cirrhotic patients with and without HCC (p value &lt; 0.001).</w:t>
      </w:r>
      <w:r>
        <w:rPr>
          <w:rFonts w:ascii="Times New Roman" w:hAnsi="Times New Roman" w:cs="Times New Roman"/>
          <w:sz w:val="24"/>
          <w:szCs w:val="24"/>
          <w14:ligatures w14:val="standardContextual"/>
        </w:rPr>
        <w:t xml:space="preserve"> </w:t>
      </w:r>
      <w:r w:rsidRPr="005558B7">
        <w:rPr>
          <w:rFonts w:ascii="Times New Roman" w:hAnsi="Times New Roman" w:cs="Times New Roman"/>
          <w:sz w:val="24"/>
          <w:szCs w:val="24"/>
          <w14:ligatures w14:val="standardContextual"/>
        </w:rPr>
        <w:t>Lambrecht and his colleagues also reported that PDGFR-β had a sensitivity of 83.78% and a specificity of 56.82%, with an AUC of.8187 and a cut-off value of 10155pg/ml.    In addition, they were able to statistically differentiate between cirrhotic patients with and without HCC.    The unique sample size (122 HCC and 145 cirrhotic) and the diverse spectrum of etiologies (HBV, HCV, alcoholic, NAFLD, and other causes of liver cirrhosis) of the Caucasian patients in the study may be the potential explanation for the elevated cut-off value</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w:instrTex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EN.CITE.DATA </w:instrTex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(12)</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r w:rsidR="0073145E" w:rsidRPr="0073145E">
        <w:t xml:space="preserve"> </w:t>
      </w:r>
      <w:r w:rsidRPr="005558B7">
        <w:rPr>
          <w:rFonts w:ascii="Times New Roman" w:hAnsi="Times New Roman" w:cs="Times New Roman"/>
          <w:sz w:val="24"/>
          <w:szCs w:val="24"/>
          <w14:ligatures w14:val="standardContextual"/>
        </w:rPr>
        <w:t>According to Zhu and his colleagues, the sensitivity and specificity of PDGFR-β in the detection of HCC in cirrhotic patients were 80% and 78%, respectively.  678.9 pg/ml was the cut-off value, and the AUC was.887</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&lt;EndNote&gt;&lt;Cite&gt;&lt;Author&gt;Zhu&lt;/Author&gt;&lt;Year&gt;2013&lt;/Year&gt;&lt;RecNum&gt;43&lt;/RecNum&gt;&lt;DisplayText&gt;(44)&lt;/DisplayText&gt;&lt;record&gt;&lt;rec-number&gt;43&lt;/rec-number&gt;&lt;foreign-keys&gt;&lt;key app="EN" db-id="zsx905w2ww2r0pepe0dvsse7s9edtx2atfdf" timestamp="1752155912"&gt;43&lt;/key&gt;&lt;/foreign-keys&gt;&lt;ref-type name="Journal Article"&gt;17&lt;/ref-type&gt;&lt;contributors&gt;&lt;authors&gt;&lt;author&gt;Zhu, Kai&lt;/author&gt;&lt;author&gt;Dai, Zhi&lt;/author&gt;&lt;author&gt;Zhou, Jian&lt;/author&gt;&lt;/authors&gt;&lt;/contributors&gt;&lt;titles&gt;&lt;title&gt;Biomarkers for hepatocellular carcinoma: progression in early diagnosis, prognosis, and personalized therapy&lt;/title&gt;&lt;secondary-title&gt;Biomark Res&lt;/secondary-title&gt;&lt;/titles&gt;&lt;periodical&gt;&lt;full-title&gt;Biomark Res&lt;/full-title&gt;&lt;/periodical&gt;&lt;pages&gt;10-43&lt;/pages&gt;&lt;volume&gt;1&lt;/volume&gt;&lt;number&gt;1&lt;/number&gt;&lt;dates&gt;&lt;year&gt;2013&lt;/year&gt;&lt;pub-dates&gt;&lt;date&gt;2013/02/05&lt;/date&gt;&lt;/pub-dates&gt;&lt;/dates&gt;&lt;isbn&gt;2050-7771&lt;/isbn&gt;&lt;urls&gt;&lt;related-urls&gt;&lt;url&gt;https://doi.org/10.1186/2050-7771-1-10&lt;/url&gt;&lt;/related-urls&gt;&lt;/urls&gt;&lt;electronic-resource-num&gt;10.1186/2050-7771-1-10&lt;/electronic-resource-num&gt;&lt;/record&gt;&lt;/Cite&gt;&lt;/EndNote&gt;</w:instrText>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(44)</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 xml:space="preserve">. </w:t>
      </w:r>
    </w:p>
    <w:p w14:paraId="48096E42" w14:textId="48F258DC" w:rsidR="00C41BE6" w:rsidRDefault="003568A7">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However, </w:t>
      </w:r>
      <w:r>
        <w:rPr>
          <w:rFonts w:ascii="Times New Roman" w:hAnsi="Times New Roman" w:cs="Times New Roman"/>
          <w:b/>
          <w:bCs/>
          <w:sz w:val="24"/>
          <w:szCs w:val="24"/>
          <w14:ligatures w14:val="standardContextual"/>
        </w:rPr>
        <w:t>Aryal and his colleagues</w:t>
      </w:r>
      <w:r>
        <w:rPr>
          <w:rFonts w:ascii="Times New Roman" w:hAnsi="Times New Roman" w:cs="Times New Roman"/>
          <w:sz w:val="24"/>
          <w:szCs w:val="24"/>
          <w14:ligatures w14:val="standardContextual"/>
        </w:rPr>
        <w:t xml:space="preserve"> </w:t>
      </w:r>
      <w:r w:rsidR="0073145E" w:rsidRPr="0073145E">
        <w:rPr>
          <w:rFonts w:ascii="Times New Roman" w:hAnsi="Times New Roman" w:cs="Times New Roman"/>
          <w:sz w:val="24"/>
          <w:szCs w:val="24"/>
          <w14:ligatures w14:val="standardContextual"/>
        </w:rPr>
        <w:t xml:space="preserve">found that the diagnostic value of PDGFR-β was restricted in early-stage HCC, with sensitivity and specificity of 60.5% and 58%, respectively. The levels of the protein did not </w:t>
      </w:r>
      <w:r w:rsidR="00517248" w:rsidRPr="00517248">
        <w:rPr>
          <w:rFonts w:ascii="Times New Roman" w:hAnsi="Times New Roman" w:cs="Times New Roman"/>
          <w:sz w:val="24"/>
          <w:szCs w:val="24"/>
          <w14:ligatures w14:val="standardContextual"/>
        </w:rPr>
        <w:t>significant</w:t>
      </w:r>
      <w:r w:rsidR="00517248">
        <w:rPr>
          <w:rFonts w:ascii="Times New Roman" w:hAnsi="Times New Roman" w:cs="Times New Roman"/>
          <w:sz w:val="24"/>
          <w:szCs w:val="24"/>
          <w14:ligatures w14:val="standardContextual"/>
        </w:rPr>
        <w:t xml:space="preserve">ly </w:t>
      </w:r>
      <w:r w:rsidR="0073145E" w:rsidRPr="0073145E">
        <w:rPr>
          <w:rFonts w:ascii="Times New Roman" w:hAnsi="Times New Roman" w:cs="Times New Roman"/>
          <w:sz w:val="24"/>
          <w:szCs w:val="24"/>
          <w14:ligatures w14:val="standardContextual"/>
        </w:rPr>
        <w:t xml:space="preserve"> differ from those of cirrhotic patients without HCC</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&lt;EndNote&gt;&lt;Cite&gt;&lt;Author&gt;Aryal&lt;/Author&gt;&lt;Year&gt;2019&lt;/Year&gt;&lt;RecNum&gt;44&lt;/RecNum&gt;&lt;DisplayText&gt;(45)&lt;/DisplayText&gt;&lt;record&gt;&lt;rec-number&gt;44&lt;/rec-number&gt;&lt;foreign-keys&gt;&lt;key app="EN" db-id="zsx905w2ww2r0pepe0dvsse7s9edtx2atfdf" timestamp="1752155912"&gt;44&lt;/key&gt;&lt;/foreign-keys&gt;&lt;ref-type name="Journal Article"&gt;17&lt;/ref-type&gt;&lt;contributors&gt;&lt;authors&gt;&lt;author&gt;Aryal, B.&lt;/author&gt;&lt;author&gt;Yamakuchi, M.&lt;/author&gt;&lt;author&gt;Shimizu, T.&lt;/author&gt;&lt;author&gt;Kadono, J.&lt;/author&gt;&lt;author&gt;Furoi, A.&lt;/author&gt;&lt;author&gt;Gejima, K.&lt;/author&gt;&lt;author&gt;Komokata, T.&lt;/author&gt;&lt;author&gt;Koriyama, C.&lt;/author&gt;&lt;author&gt;Hashiguchi, T.&lt;/author&gt;&lt;author&gt;Imoto, Y.&lt;/author&gt;&lt;/authors&gt;&lt;/contributors&gt;&lt;auth-address&gt;Cardiovascular and Gastroenterological Surgery, Graduate School of Medical and Dental Sciences, Kagoshima University, Kagoshima 890-8520, Japan.&amp;#xD;Department of Laboratory and Vascular Medicine, Graduate School of Medical and Dental Sciences, Kagoshima University, Kagoshima 890-8520, Japan.&amp;#xD;Department of Surgery, Kirishima Medical Center, Kirishima 899-5112, Japan.&amp;#xD;Department of Surgery, Kagoshima Medical Center, National Hospital Organization, Kagoshima 892-0853, Japan.&amp;#xD;Department of Epidemiology and Preventive Medicine, Graduate School of Medical and Dental Sciences, Kagoshima University, Kagoshima 890-8520, Japan.&lt;/auth-address&gt;&lt;titles&gt;&lt;title&gt;Predictive Value of Diminished Serum PDGF-BB after Curative Resection of Hepatocellular Cancer&lt;/title&gt;&lt;secondary-title&gt;J Oncol&lt;/secondary-title&gt;&lt;/titles&gt;&lt;periodical&gt;&lt;full-title&gt;J Oncol&lt;/full-title&gt;&lt;/periodical&gt;&lt;pages&gt;19-25&lt;/pages&gt;&lt;volume&gt;2019&lt;/volume&gt;&lt;edition&gt;20190106&lt;/edition&gt;&lt;dates&gt;&lt;year&gt;2019&lt;/year&gt;&lt;/dates&gt;&lt;isbn&gt;1687-8450 (Print)&amp;#xD;1687-8450&lt;/isbn&gt;&lt;accession-num&gt;30723501&lt;/accession-num&gt;&lt;urls&gt;&lt;/urls&gt;&lt;custom2&gt;PMC6339767&lt;/custom2&gt;&lt;electronic-resource-num&gt;10.1155/2019/1925315&lt;/electronic-resource-num&gt;&lt;remote-database-provider&gt;NLM&lt;/remote-database-provider&gt;&lt;language&gt;eng&lt;/language&gt;&lt;/record&gt;&lt;/Cite&gt;&lt;/EndNote&gt;</w:instrText>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(45)</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 xml:space="preserve">. </w:t>
      </w:r>
      <w:r w:rsidR="0073145E" w:rsidRPr="0073145E">
        <w:rPr>
          <w:rFonts w:ascii="Times New Roman" w:hAnsi="Times New Roman" w:cs="Times New Roman"/>
          <w:sz w:val="24"/>
          <w:szCs w:val="24"/>
          <w14:ligatures w14:val="standardContextual"/>
        </w:rPr>
        <w:t>These findings indicate that PDGFR-β may be beneficial in specific circumstances; however, its diagnostic utility may be restricted by its overlap with other liver conditions, such as infiltrative liver diseases and liver abscesses, which may limit its specificity.  Moreover, this may be attributable to the fact that the selection of patients and the sample size were different, as he conducted his study on a larger sample size (144 HCC and 122 cirrhotic).</w:t>
      </w:r>
    </w:p>
    <w:p w14:paraId="2CD7BB3C" w14:textId="77777777" w:rsidR="00C41BE6" w:rsidRDefault="003568A7">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In the current study</w:t>
      </w:r>
      <w:proofErr w:type="gramStart"/>
      <w:r>
        <w:rPr>
          <w:rFonts w:ascii="Times New Roman" w:hAnsi="Times New Roman" w:cs="Times New Roman"/>
          <w:sz w:val="24"/>
          <w:szCs w:val="24"/>
          <w14:ligatures w14:val="standardContextual"/>
        </w:rPr>
        <w:t>, regarding</w:t>
      </w:r>
      <w:proofErr w:type="gramEnd"/>
      <w:r>
        <w:rPr>
          <w:rFonts w:ascii="Times New Roman" w:hAnsi="Times New Roman" w:cs="Times New Roman"/>
          <w:sz w:val="24"/>
          <w:szCs w:val="24"/>
          <w14:ligatures w14:val="standardContextual"/>
        </w:rPr>
        <w:t xml:space="preserve"> the APAC score which had statistically significant difference in prediction of  HCC in cirrhotic patients (p value &lt;0.001) and its  sensitivity and specificity  were ( 87.5 %, 85% respectively) with AUC.940 and cut off value &gt;3.9. APAC score demonstrated better diagnostic performance compared to PDGFR-β alone, as it had a higher AUC and performance characteristic (Table 5). This agreed by </w:t>
      </w:r>
      <w:r w:rsidRPr="00225AB8">
        <w:rPr>
          <w:rFonts w:ascii="Times New Roman" w:hAnsi="Times New Roman" w:cs="Times New Roman"/>
          <w:b/>
          <w:bCs/>
          <w:sz w:val="24"/>
          <w:szCs w:val="24"/>
          <w14:ligatures w14:val="standardContextual"/>
        </w:rPr>
        <w:t>Lambrecht and his colleagues</w:t>
      </w:r>
      <w:r>
        <w:rPr>
          <w:rFonts w:ascii="Times New Roman" w:hAnsi="Times New Roman" w:cs="Times New Roman"/>
          <w:sz w:val="24"/>
          <w:szCs w:val="24"/>
          <w14:ligatures w14:val="standardContextual"/>
        </w:rPr>
        <w:t xml:space="preserve"> </w:t>
      </w:r>
      <w:r w:rsidR="00225AB8">
        <w:rPr>
          <w:rFonts w:ascii="Times New Roman" w:hAnsi="Times New Roman" w:cs="Times New Roman"/>
          <w:sz w:val="24"/>
          <w:szCs w:val="24"/>
          <w14:ligatures w14:val="standardContextual"/>
        </w:rPr>
        <w:t xml:space="preserve">who </w:t>
      </w:r>
      <w:r>
        <w:rPr>
          <w:rFonts w:ascii="Times New Roman" w:hAnsi="Times New Roman" w:cs="Times New Roman"/>
          <w:sz w:val="24"/>
          <w:szCs w:val="24"/>
          <w14:ligatures w14:val="standardContextual"/>
        </w:rPr>
        <w:t xml:space="preserve">reported that the APAC score, which combines clinical and biochemical parameters, was highly accurate in discriminating between cirrhosis and HCC with sensitivity and specificity  (91.1% and 85.3% respectively ) with AUC .9488 and cut off value 0.677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(12)</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 xml:space="preserve">.  </w:t>
      </w:r>
    </w:p>
    <w:p w14:paraId="6B36BDCB" w14:textId="6A0244FF" w:rsidR="00C41BE6" w:rsidRDefault="00FE6BC8" w:rsidP="00A41F6F">
      <w:pPr>
        <w:spacing w:before="240" w:after="0" w:line="240" w:lineRule="auto"/>
        <w:jc w:val="lowKashida"/>
        <w:rPr>
          <w:rFonts w:ascii="Times New Roman" w:hAnsi="Times New Roman" w:cs="Times New Roman"/>
          <w:sz w:val="24"/>
          <w:szCs w:val="24"/>
          <w14:ligatures w14:val="standardContextual"/>
        </w:rPr>
      </w:pPr>
      <w:r w:rsidRPr="00FE6BC8">
        <w:rPr>
          <w:rFonts w:ascii="Times New Roman" w:hAnsi="Times New Roman" w:cs="Times New Roman"/>
          <w:sz w:val="24"/>
          <w:szCs w:val="24"/>
          <w14:ligatures w14:val="standardContextual"/>
        </w:rPr>
        <w:t>The present study's AUC of.946 indicates that AFP and PDGFR-β together have a better accuracy rate (88.8%) for differentiating between cirrhotic individuals with and without HCC.</w:t>
      </w:r>
      <w:r>
        <w:rPr>
          <w:rFonts w:ascii="Times New Roman" w:hAnsi="Times New Roman" w:cs="Times New Roman"/>
          <w:sz w:val="24"/>
          <w:szCs w:val="24"/>
          <w14:ligatures w14:val="standardContextual"/>
        </w:rPr>
        <w:t xml:space="preserve"> </w:t>
      </w:r>
      <w:r w:rsidRPr="00FE6BC8">
        <w:rPr>
          <w:rFonts w:ascii="Times New Roman" w:hAnsi="Times New Roman" w:cs="Times New Roman"/>
          <w:sz w:val="24"/>
          <w:szCs w:val="24"/>
          <w14:ligatures w14:val="standardContextual"/>
        </w:rPr>
        <w:t>AFP+ PDGFR-β exhibited superior AUC and performance characteristics in comparison to each individual marker, with a sensitivity and specificity of 87.5% and 90%, respectively.</w:t>
      </w:r>
      <w:r>
        <w:rPr>
          <w:rFonts w:ascii="Times New Roman" w:hAnsi="Times New Roman" w:cs="Times New Roman"/>
          <w:sz w:val="24"/>
          <w:szCs w:val="24"/>
          <w14:ligatures w14:val="standardContextual"/>
        </w:rPr>
        <w:t xml:space="preserve"> </w:t>
      </w:r>
      <w:r w:rsidR="00D77E03" w:rsidRPr="00D77E03">
        <w:rPr>
          <w:rFonts w:ascii="Times New Roman" w:hAnsi="Times New Roman" w:cs="Times New Roman"/>
          <w:sz w:val="24"/>
          <w:szCs w:val="24"/>
          <w14:ligatures w14:val="standardContextual"/>
        </w:rPr>
        <w:t xml:space="preserve">This discovery is consistent with the research conducted by </w:t>
      </w:r>
      <w:proofErr w:type="spellStart"/>
      <w:r w:rsidR="00D77E03" w:rsidRPr="00D77E03">
        <w:rPr>
          <w:rFonts w:ascii="Times New Roman" w:hAnsi="Times New Roman" w:cs="Times New Roman"/>
          <w:b/>
          <w:bCs/>
          <w:sz w:val="24"/>
          <w:szCs w:val="24"/>
          <w14:ligatures w14:val="standardContextual"/>
        </w:rPr>
        <w:t>Piratvisuth</w:t>
      </w:r>
      <w:proofErr w:type="spellEnd"/>
      <w:r w:rsidR="00D77E03" w:rsidRPr="00D77E03">
        <w:rPr>
          <w:rFonts w:ascii="Times New Roman" w:hAnsi="Times New Roman" w:cs="Times New Roman"/>
          <w:b/>
          <w:bCs/>
          <w:sz w:val="24"/>
          <w:szCs w:val="24"/>
          <w14:ligatures w14:val="standardContextual"/>
        </w:rPr>
        <w:t xml:space="preserve"> and his colleagues</w:t>
      </w:r>
      <w:r w:rsidR="00D77E03" w:rsidRPr="00D77E03">
        <w:rPr>
          <w:rFonts w:ascii="Times New Roman" w:hAnsi="Times New Roman" w:cs="Times New Roman"/>
          <w:sz w:val="24"/>
          <w:szCs w:val="24"/>
          <w14:ligatures w14:val="standardContextual"/>
        </w:rPr>
        <w:t xml:space="preserve">, </w:t>
      </w:r>
      <w:r w:rsidRPr="00FE6BC8">
        <w:rPr>
          <w:rFonts w:ascii="Times New Roman" w:hAnsi="Times New Roman" w:cs="Times New Roman"/>
          <w:sz w:val="24"/>
          <w:szCs w:val="24"/>
          <w14:ligatures w14:val="standardContextual"/>
        </w:rPr>
        <w:t>who discovered that the sensitivity and specificity of early HCC detection were enhanced by the combination of PDGFR-β with other biomarkers</w:t>
      </w:r>
      <w:r>
        <w:rPr>
          <w:rFonts w:ascii="Times New Roman" w:hAnsi="Times New Roman" w:cs="Times New Roman"/>
          <w:sz w:val="24"/>
          <w:szCs w:val="24"/>
          <w14:ligatures w14:val="standardContextual"/>
        </w:rPr>
        <w:t xml:space="preserve"> </w: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 </w:instrText>
      </w:r>
      <w:r w:rsidR="003568A7">
        <w:rPr>
          <w:rFonts w:ascii="Times New Roman" w:hAnsi="Times New Roman" w:cs="Times New Roman"/>
          <w:sz w:val="24"/>
          <w:szCs w:val="24"/>
          <w14:ligatures w14:val="standardContextual"/>
        </w:rPr>
        <w:fldChar w:fldCharType="begin"/>
      </w:r>
      <w:r w:rsidR="003568A7">
        <w:rPr>
          <w:rFonts w:ascii="Times New Roman" w:hAnsi="Times New Roman" w:cs="Times New Roman"/>
          <w:sz w:val="24"/>
          <w:szCs w:val="24"/>
          <w14:ligatures w14:val="standardContextual"/>
        </w:rPr>
        <w:instrText xml:space="preserve"> ADDIN EN.CITE.DATA </w:instrTex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fldChar w:fldCharType="separate"/>
      </w:r>
      <w:r w:rsidR="003568A7">
        <w:rPr>
          <w:rFonts w:ascii="Times New Roman" w:hAnsi="Times New Roman" w:cs="Times New Roman"/>
          <w:noProof/>
          <w:sz w:val="24"/>
          <w:szCs w:val="24"/>
          <w14:ligatures w14:val="standardContextual"/>
        </w:rPr>
        <w:t>(46)</w:t>
      </w:r>
      <w:r w:rsidR="003568A7">
        <w:rPr>
          <w:rFonts w:ascii="Times New Roman" w:hAnsi="Times New Roman" w:cs="Times New Roman"/>
          <w:sz w:val="24"/>
          <w:szCs w:val="24"/>
          <w14:ligatures w14:val="standardContextual"/>
        </w:rPr>
        <w:fldChar w:fldCharType="end"/>
      </w:r>
      <w:r w:rsidR="003568A7">
        <w:rPr>
          <w:rFonts w:ascii="Times New Roman" w:hAnsi="Times New Roman" w:cs="Times New Roman"/>
          <w:sz w:val="24"/>
          <w:szCs w:val="24"/>
          <w14:ligatures w14:val="standardContextual"/>
        </w:rPr>
        <w:t>.</w:t>
      </w:r>
    </w:p>
    <w:p w14:paraId="2E1BFC26" w14:textId="02631566" w:rsidR="00C41BE6" w:rsidRDefault="003568A7" w:rsidP="00DC6C60">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lastRenderedPageBreak/>
        <w:t xml:space="preserve">On the other hand, there are other studies that oppose this opinion like, </w:t>
      </w:r>
      <w:r>
        <w:rPr>
          <w:rFonts w:ascii="Times New Roman" w:hAnsi="Times New Roman" w:cs="Times New Roman"/>
          <w:b/>
          <w:bCs/>
          <w:sz w:val="24"/>
          <w:szCs w:val="24"/>
          <w14:ligatures w14:val="standardContextual"/>
        </w:rPr>
        <w:t>Lok</w:t>
      </w:r>
      <w:r>
        <w:rPr>
          <w:rFonts w:ascii="Times New Roman" w:hAnsi="Times New Roman" w:cs="Times New Roman"/>
          <w:sz w:val="24"/>
          <w:szCs w:val="24"/>
          <w14:ligatures w14:val="standardContextual"/>
        </w:rPr>
        <w:t xml:space="preserve"> </w:t>
      </w:r>
      <w:r>
        <w:rPr>
          <w:rFonts w:ascii="Times New Roman" w:hAnsi="Times New Roman" w:cs="Times New Roman"/>
          <w:b/>
          <w:bCs/>
          <w:sz w:val="24"/>
          <w:szCs w:val="24"/>
          <w14:ligatures w14:val="standardContextual"/>
        </w:rPr>
        <w:t>and his colleagues</w:t>
      </w:r>
      <w:r>
        <w:rPr>
          <w:rFonts w:ascii="Times New Roman" w:hAnsi="Times New Roman" w:cs="Times New Roman"/>
          <w:sz w:val="24"/>
          <w:szCs w:val="24"/>
          <w14:ligatures w14:val="standardContextual"/>
        </w:rPr>
        <w:t xml:space="preserve"> </w:t>
      </w:r>
      <w:r w:rsidR="005558B7" w:rsidRPr="005558B7">
        <w:rPr>
          <w:rFonts w:ascii="Times New Roman" w:hAnsi="Times New Roman" w:cs="Times New Roman"/>
          <w:sz w:val="24"/>
          <w:szCs w:val="24"/>
          <w14:ligatures w14:val="standardContextual"/>
        </w:rPr>
        <w:t xml:space="preserve">in comparison to the use of the biomarkers alone, reported that the specificity and sensitivity of early HCC detection were not improved by combining PDGFR-β with other biomarkers such as AFP and DCP.   His investigation on patients in the United States, which included a diverse </w:t>
      </w:r>
      <w:proofErr w:type="spellStart"/>
      <w:r w:rsidR="005558B7" w:rsidRPr="005558B7">
        <w:rPr>
          <w:rFonts w:ascii="Times New Roman" w:hAnsi="Times New Roman" w:cs="Times New Roman"/>
          <w:sz w:val="24"/>
          <w:szCs w:val="24"/>
          <w14:ligatures w14:val="standardContextual"/>
        </w:rPr>
        <w:t>ethinicity</w:t>
      </w:r>
      <w:proofErr w:type="spellEnd"/>
      <w:r w:rsidR="005558B7" w:rsidRPr="005558B7">
        <w:rPr>
          <w:rFonts w:ascii="Times New Roman" w:hAnsi="Times New Roman" w:cs="Times New Roman"/>
          <w:sz w:val="24"/>
          <w:szCs w:val="24"/>
          <w14:ligatures w14:val="standardContextual"/>
        </w:rPr>
        <w:t>, a large sample size (117 HCC, 135 cirrhotic), and a heterogeneous etiology (HBV, HCV), may have contributed to this</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(46)</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w:t>
      </w:r>
    </w:p>
    <w:p w14:paraId="02A50AC3" w14:textId="77777777" w:rsidR="00C41BE6" w:rsidRDefault="003568A7" w:rsidP="00225AB8">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The current study showed that younger age, higher AFP, APAC score, and lower PDGFR-β were associated with higher HCC susceptibility among LC cases in univariable logistic regression </w:t>
      </w:r>
      <w:proofErr w:type="spellStart"/>
      <w:r>
        <w:rPr>
          <w:rFonts w:ascii="Times New Roman" w:hAnsi="Times New Roman" w:cs="Times New Roman"/>
          <w:sz w:val="24"/>
          <w:szCs w:val="24"/>
          <w14:ligatures w14:val="standardContextual"/>
        </w:rPr>
        <w:t>analysis.These</w:t>
      </w:r>
      <w:proofErr w:type="spellEnd"/>
      <w:r>
        <w:rPr>
          <w:rFonts w:ascii="Times New Roman" w:hAnsi="Times New Roman" w:cs="Times New Roman"/>
          <w:sz w:val="24"/>
          <w:szCs w:val="24"/>
          <w14:ligatures w14:val="standardContextual"/>
        </w:rPr>
        <w:t xml:space="preserve"> in line with </w:t>
      </w:r>
      <w:r>
        <w:rPr>
          <w:rFonts w:ascii="Times New Roman" w:hAnsi="Times New Roman" w:cs="Times New Roman"/>
          <w:b/>
          <w:bCs/>
          <w:sz w:val="24"/>
          <w:szCs w:val="24"/>
          <w14:ligatures w14:val="standardContextual"/>
        </w:rPr>
        <w:t>Lamb and his colleagues</w:t>
      </w:r>
      <w:r>
        <w:rPr>
          <w:rFonts w:ascii="Times New Roman" w:hAnsi="Times New Roman" w:cs="Times New Roman"/>
          <w:sz w:val="24"/>
          <w:szCs w:val="24"/>
          <w14:ligatures w14:val="standardContextual"/>
        </w:rPr>
        <w:t xml:space="preserve"> who reported that HCC developed in </w:t>
      </w:r>
      <w:proofErr w:type="spellStart"/>
      <w:r>
        <w:rPr>
          <w:rFonts w:ascii="Times New Roman" w:hAnsi="Times New Roman" w:cs="Times New Roman"/>
          <w:sz w:val="24"/>
          <w:szCs w:val="24"/>
          <w14:ligatures w14:val="standardContextual"/>
        </w:rPr>
        <w:t>youger</w:t>
      </w:r>
      <w:proofErr w:type="spellEnd"/>
      <w:r>
        <w:rPr>
          <w:rFonts w:ascii="Times New Roman" w:hAnsi="Times New Roman" w:cs="Times New Roman"/>
          <w:sz w:val="24"/>
          <w:szCs w:val="24"/>
          <w14:ligatures w14:val="standardContextual"/>
        </w:rPr>
        <w:t xml:space="preserve"> patients and higher serum level of AFP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&lt;EndNote&gt;&lt;Cite&gt;&lt;Author&gt;Lamb&lt;/Author&gt;&lt;Year&gt;2024&lt;/Year&gt;&lt;RecNum&gt;28&lt;/RecNum&gt;&lt;DisplayText&gt;(30)&lt;/DisplayText&gt;&lt;record&gt;&lt;rec-number&gt;28&lt;/rec-number&gt;&lt;foreign-keys&gt;&lt;key app="EN" db-id="zsx905w2ww2r0pepe0dvsse7s9edtx2atfdf" timestamp="1752155912"&gt;28&lt;/key&gt;&lt;/foreign-keys&gt;&lt;ref-type name="Journal Article"&gt;17&lt;/ref-type&gt;&lt;contributors&gt;&lt;authors&gt;&lt;author&gt;Lamb, Carly&lt;/author&gt;&lt;author&gt;Tham, Jennifer&lt;/author&gt;&lt;author&gt;Goh, Tee Lin&lt;/author&gt;&lt;author&gt;Barclay, Stephen&lt;/author&gt;&lt;author&gt;Priest, Matthew&lt;/author&gt;&lt;author&gt;Forrest, Ewan H&lt;/author&gt;&lt;author&gt;Fraser, Andrew&lt;/author&gt;&lt;author&gt;Kay, David&lt;/author&gt;&lt;author&gt;Kasthuri, Ram&lt;/author&gt;&lt;author&gt;Evans, Jeff&lt;/author&gt;&lt;/authors&gt;&lt;/contributors&gt;&lt;titles&gt;&lt;title&gt;Comparison between patient characteristics, aetiology and outcomes in patients with and without cirrhosis with hepatocellular carcinoma diagnosed in a regional centre&lt;/title&gt;&lt;secondary-title&gt;Frontline Gastroenterol&lt;/secondary-title&gt;&lt;/titles&gt;&lt;periodical&gt;&lt;full-title&gt;Frontline Gastroenterol&lt;/full-title&gt;&lt;/periodical&gt;&lt;pages&gt;380-386&lt;/pages&gt;&lt;volume&gt;15&lt;/volume&gt;&lt;number&gt;5&lt;/number&gt;&lt;dates&gt;&lt;year&gt;2024&lt;/year&gt;&lt;/dates&gt;&lt;isbn&gt;2041-4137&lt;/isbn&gt;&lt;urls&gt;&lt;/urls&gt;&lt;/record&gt;&lt;/Cite&gt;&lt;/EndNote&gt;</w:instrText>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(30)</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 xml:space="preserve">. On the other hand, </w:t>
      </w:r>
      <w:r>
        <w:rPr>
          <w:rFonts w:ascii="Times New Roman" w:hAnsi="Times New Roman" w:cs="Times New Roman"/>
          <w:b/>
          <w:bCs/>
          <w:sz w:val="24"/>
          <w:szCs w:val="24"/>
          <w14:ligatures w14:val="standardContextual"/>
        </w:rPr>
        <w:t>Ke and his colleagues</w:t>
      </w:r>
      <w:r>
        <w:rPr>
          <w:rFonts w:ascii="Times New Roman" w:hAnsi="Times New Roman" w:cs="Times New Roman"/>
          <w:sz w:val="24"/>
          <w:szCs w:val="24"/>
          <w14:ligatures w14:val="standardContextual"/>
        </w:rPr>
        <w:t xml:space="preserve"> stated that AFP was not considered a predictor of HCC, and this difference may be due to different ethnicity as their study concluded patients from china and included larger number of cases (371 HCC patients) </w: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 </w:instrText>
      </w:r>
      <w:r>
        <w:rPr>
          <w:rFonts w:ascii="Times New Roman" w:hAnsi="Times New Roman" w:cs="Times New Roman"/>
          <w:sz w:val="24"/>
          <w:szCs w:val="24"/>
          <w14:ligatures w14:val="standardContextual"/>
        </w:rPr>
        <w:fldChar w:fldCharType="begin"/>
      </w:r>
      <w:r>
        <w:rPr>
          <w:rFonts w:ascii="Times New Roman" w:hAnsi="Times New Roman" w:cs="Times New Roman"/>
          <w:sz w:val="24"/>
          <w:szCs w:val="24"/>
          <w14:ligatures w14:val="standardContextual"/>
        </w:rPr>
        <w:instrText xml:space="preserve"> ADDIN EN.CITE.DATA </w:instrTex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fldChar w:fldCharType="separate"/>
      </w:r>
      <w:r>
        <w:rPr>
          <w:rFonts w:ascii="Times New Roman" w:hAnsi="Times New Roman" w:cs="Times New Roman"/>
          <w:noProof/>
          <w:sz w:val="24"/>
          <w:szCs w:val="24"/>
          <w14:ligatures w14:val="standardContextual"/>
        </w:rPr>
        <w:t>(47)</w:t>
      </w:r>
      <w:r>
        <w:rPr>
          <w:rFonts w:ascii="Times New Roman" w:hAnsi="Times New Roman" w:cs="Times New Roman"/>
          <w:sz w:val="24"/>
          <w:szCs w:val="24"/>
          <w14:ligatures w14:val="standardContextual"/>
        </w:rPr>
        <w:fldChar w:fldCharType="end"/>
      </w:r>
      <w:r>
        <w:rPr>
          <w:rFonts w:ascii="Times New Roman" w:hAnsi="Times New Roman" w:cs="Times New Roman"/>
          <w:sz w:val="24"/>
          <w:szCs w:val="24"/>
          <w14:ligatures w14:val="standardContextual"/>
        </w:rPr>
        <w:t xml:space="preserve">. </w:t>
      </w:r>
    </w:p>
    <w:p w14:paraId="109A7CDC" w14:textId="77777777" w:rsidR="00C41BE6" w:rsidRDefault="003568A7">
      <w:pPr>
        <w:spacing w:before="240" w:after="0" w:line="240" w:lineRule="auto"/>
        <w:jc w:val="lowKashida"/>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While in multivariable analysis higher AFP, APAC, and lower PDGFR-β were considered independent predictors for HCC on top of LC. APAC was found to be a stronger predictor of HCC susceptibility compared to PDGFR-β, with higher odds of developing HCC. This suggests that APAC is a more reliable marker for detecting HCC in cirrhotic patients.</w:t>
      </w:r>
    </w:p>
    <w:p w14:paraId="567024D9" w14:textId="77777777" w:rsidR="00EC2D68" w:rsidRDefault="00EC2D68">
      <w:pPr>
        <w:spacing w:before="240" w:after="0" w:line="240" w:lineRule="auto"/>
        <w:rPr>
          <w:rFonts w:ascii="Times New Roman" w:hAnsi="Times New Roman" w:cs="Times New Roman"/>
          <w:sz w:val="24"/>
          <w:szCs w:val="24"/>
          <w14:ligatures w14:val="standardContextual"/>
        </w:rPr>
      </w:pPr>
      <w:r w:rsidRPr="00EC2D68">
        <w:rPr>
          <w:rFonts w:ascii="Times New Roman" w:hAnsi="Times New Roman" w:cs="Times New Roman"/>
          <w:sz w:val="24"/>
          <w:szCs w:val="24"/>
          <w14:ligatures w14:val="standardContextual"/>
        </w:rPr>
        <w:t>The study's limitations included a limited sample size, a single center, and a focus on cirrhotic patients owing to a singular etiology (HCV infection).</w:t>
      </w:r>
    </w:p>
    <w:p w14:paraId="5F98CDF3" w14:textId="082033CE" w:rsidR="00C41BE6" w:rsidRDefault="003568A7">
      <w:pPr>
        <w:spacing w:before="240"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Conclusion</w:t>
      </w:r>
      <w:r w:rsidR="00225AB8">
        <w:rPr>
          <w:rFonts w:ascii="Times New Roman" w:hAnsi="Times New Roman" w:cs="Times New Roman"/>
          <w:b/>
          <w:bCs/>
          <w:sz w:val="24"/>
          <w:szCs w:val="24"/>
          <w:u w:val="single"/>
        </w:rPr>
        <w:t>s</w:t>
      </w:r>
    </w:p>
    <w:p w14:paraId="2B6F77E8" w14:textId="77777777" w:rsidR="00E758B5" w:rsidRDefault="00E758B5">
      <w:pPr>
        <w:spacing w:before="240" w:after="0" w:line="240" w:lineRule="auto"/>
        <w:jc w:val="lowKashida"/>
        <w:rPr>
          <w:rFonts w:ascii="Times New Roman" w:hAnsi="Times New Roman" w:cs="Times New Roman"/>
          <w:sz w:val="24"/>
          <w:szCs w:val="24"/>
        </w:rPr>
      </w:pPr>
      <w:r w:rsidRPr="00E758B5">
        <w:rPr>
          <w:rFonts w:ascii="Times New Roman" w:hAnsi="Times New Roman" w:cs="Times New Roman"/>
          <w:sz w:val="24"/>
          <w:szCs w:val="24"/>
        </w:rPr>
        <w:t>This study found that elevated AFP, APAC, and PDGFR-β levels were favorable indicators of HCC in Egyptian patients with chronic hepatitis C infection, in addition to LC.</w:t>
      </w:r>
    </w:p>
    <w:p w14:paraId="1E720D49" w14:textId="16A74E31" w:rsidR="00C41BE6" w:rsidRDefault="003568A7">
      <w:pPr>
        <w:spacing w:before="240" w:after="0" w:line="240" w:lineRule="auto"/>
        <w:jc w:val="lowKashida"/>
        <w:rPr>
          <w:rFonts w:ascii="Times New Roman" w:hAnsi="Times New Roman" w:cs="Times New Roman"/>
          <w:b/>
          <w:sz w:val="24"/>
          <w:szCs w:val="24"/>
        </w:rPr>
      </w:pPr>
      <w:r>
        <w:rPr>
          <w:rFonts w:ascii="Times New Roman" w:hAnsi="Times New Roman" w:cs="Times New Roman"/>
          <w:b/>
          <w:sz w:val="24"/>
          <w:szCs w:val="24"/>
          <w:u w:val="single"/>
        </w:rPr>
        <w:t>Sources of funding</w:t>
      </w:r>
    </w:p>
    <w:p w14:paraId="18747B0B" w14:textId="77777777" w:rsidR="00C41BE6" w:rsidRDefault="003568A7">
      <w:pPr>
        <w:spacing w:before="240" w:after="0" w:line="240" w:lineRule="auto"/>
        <w:jc w:val="lowKashida"/>
        <w:rPr>
          <w:rFonts w:ascii="Times New Roman" w:hAnsi="Times New Roman" w:cs="Times New Roman"/>
          <w:sz w:val="24"/>
          <w:szCs w:val="24"/>
        </w:rPr>
      </w:pPr>
      <w:r>
        <w:rPr>
          <w:rFonts w:ascii="Times New Roman" w:hAnsi="Times New Roman" w:cs="Times New Roman"/>
          <w:sz w:val="24"/>
          <w:szCs w:val="24"/>
        </w:rPr>
        <w:t>This research did not receive any specific grant from funding agencies in the public, commercial, or not-for-profit sectors.</w:t>
      </w:r>
    </w:p>
    <w:p w14:paraId="47A12073" w14:textId="77777777" w:rsidR="00C41BE6" w:rsidRDefault="003568A7">
      <w:pPr>
        <w:spacing w:before="240" w:after="0" w:line="240" w:lineRule="auto"/>
        <w:jc w:val="lowKashida"/>
        <w:rPr>
          <w:rFonts w:ascii="Times New Roman" w:hAnsi="Times New Roman" w:cs="Times New Roman"/>
          <w:b/>
          <w:sz w:val="24"/>
          <w:szCs w:val="24"/>
        </w:rPr>
      </w:pPr>
      <w:r>
        <w:rPr>
          <w:rFonts w:ascii="Times New Roman" w:hAnsi="Times New Roman" w:cs="Times New Roman"/>
          <w:b/>
          <w:sz w:val="24"/>
          <w:szCs w:val="24"/>
          <w:u w:val="single"/>
        </w:rPr>
        <w:t>Conflicts of interest</w:t>
      </w:r>
    </w:p>
    <w:p w14:paraId="0B66B240" w14:textId="77777777" w:rsidR="00C41BE6" w:rsidRDefault="003568A7">
      <w:pPr>
        <w:spacing w:before="240" w:after="0" w:line="240" w:lineRule="auto"/>
        <w:jc w:val="lowKashida"/>
        <w:rPr>
          <w:rFonts w:ascii="Times New Roman" w:hAnsi="Times New Roman" w:cs="Times New Roman"/>
          <w:sz w:val="24"/>
          <w:szCs w:val="24"/>
        </w:rPr>
      </w:pPr>
      <w:r>
        <w:rPr>
          <w:rFonts w:ascii="Times New Roman" w:hAnsi="Times New Roman" w:cs="Times New Roman"/>
          <w:sz w:val="24"/>
          <w:szCs w:val="24"/>
        </w:rPr>
        <w:t>No conflicts of interest</w:t>
      </w:r>
    </w:p>
    <w:p w14:paraId="7DD0E5E3" w14:textId="77777777" w:rsidR="00C41BE6" w:rsidRDefault="003568A7">
      <w:pPr>
        <w:spacing w:before="24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References </w:t>
      </w:r>
    </w:p>
    <w:p w14:paraId="52102ED9" w14:textId="77777777" w:rsidR="00C41BE6" w:rsidRDefault="003568A7" w:rsidP="00D77AE1">
      <w:pPr>
        <w:pStyle w:val="EndNoteBibliography"/>
        <w:spacing w:after="0"/>
        <w:ind w:left="360" w:hanging="360"/>
        <w:jc w:val="both"/>
      </w:pPr>
      <w:r>
        <w:rPr>
          <w:szCs w:val="24"/>
          <w:highlight w:val="yellow"/>
        </w:rPr>
        <w:fldChar w:fldCharType="begin"/>
      </w:r>
      <w:r>
        <w:rPr>
          <w:szCs w:val="24"/>
          <w:highlight w:val="yellow"/>
        </w:rPr>
        <w:instrText xml:space="preserve"> ADDIN EN.REFLIST </w:instrText>
      </w:r>
      <w:r>
        <w:rPr>
          <w:szCs w:val="24"/>
          <w:highlight w:val="yellow"/>
        </w:rPr>
        <w:fldChar w:fldCharType="separate"/>
      </w:r>
      <w:r>
        <w:t>1. Tarao K, Nozaki A, Ikeda T, Sato A, Komatsu H, Komatsu T, et al. Real impact of liver cirrhosis on the development of hepatocellular carcinoma in various liver diseases-meta-analytic assessment. Cancer Med. 2019;8:1054-65.</w:t>
      </w:r>
    </w:p>
    <w:p w14:paraId="51E21E90" w14:textId="77777777" w:rsidR="00C41BE6" w:rsidRDefault="003568A7" w:rsidP="00D77AE1">
      <w:pPr>
        <w:pStyle w:val="EndNoteBibliography"/>
        <w:spacing w:after="0"/>
        <w:ind w:left="360" w:hanging="360"/>
        <w:jc w:val="both"/>
      </w:pPr>
      <w:r>
        <w:t>2. Bray F, Ferlay J, Soerjomataram I, Siegel RL, Torre LA, Jemal A. Global cancer statistics 2018: GLOBOCAN estimates of incidence and mortality worldwide for 36 cancers in 185 countries. CA Cancer J Clin. 2018;68:394-9.</w:t>
      </w:r>
    </w:p>
    <w:p w14:paraId="6ABB4B15" w14:textId="77777777" w:rsidR="00C41BE6" w:rsidRDefault="003568A7" w:rsidP="00D77AE1">
      <w:pPr>
        <w:pStyle w:val="EndNoteBibliography"/>
        <w:spacing w:after="0"/>
        <w:ind w:left="360" w:hanging="360"/>
        <w:jc w:val="both"/>
      </w:pPr>
      <w:r>
        <w:t xml:space="preserve">3. Akinyemiju T, Abera S, Ahmed M, Alam N, Alemayohu MA, Allen C, et al. The Burden of Primary Liver Cancer and Underlying Etiologies From 1990 to 2015 at the Global, </w:t>
      </w:r>
      <w:r>
        <w:lastRenderedPageBreak/>
        <w:t>Regional, and National Level: Results From the Global Burden of Disease Study 2015. JAMA Oncol. 2017;3:1683-91.</w:t>
      </w:r>
    </w:p>
    <w:p w14:paraId="2E3C5D7D" w14:textId="77777777" w:rsidR="00C41BE6" w:rsidRDefault="003568A7" w:rsidP="00D77AE1">
      <w:pPr>
        <w:pStyle w:val="EndNoteBibliography"/>
        <w:spacing w:after="0"/>
        <w:ind w:left="360" w:hanging="360"/>
        <w:jc w:val="both"/>
      </w:pPr>
      <w:r>
        <w:t>4. Seyda Seydel G, Kucukoglu O, Altinbasv A, Demir OO, Yilmaz S, Akkiz H, et al. Economic growth leads to increase of obesity and associated hepatocellular carcinoma in developing countries. Ann Hepatol. 2016;15:62-72.</w:t>
      </w:r>
    </w:p>
    <w:p w14:paraId="5CDB5DB9" w14:textId="77777777" w:rsidR="00C41BE6" w:rsidRDefault="003568A7" w:rsidP="00D77AE1">
      <w:pPr>
        <w:pStyle w:val="EndNoteBibliography"/>
        <w:spacing w:after="0"/>
        <w:ind w:left="360" w:hanging="360"/>
        <w:jc w:val="both"/>
      </w:pPr>
      <w:r>
        <w:t>5. Wu M, Liu H, Liu Z, Liu C, Zhang A, Li N. Analysis of serum alpha-fetoprotein (AFP) and AFP-L3 levels by protein microarray. J Int Med Res. 2018;46:4297-9.</w:t>
      </w:r>
    </w:p>
    <w:p w14:paraId="66A76FD3" w14:textId="77777777" w:rsidR="00C41BE6" w:rsidRDefault="003568A7" w:rsidP="00D77AE1">
      <w:pPr>
        <w:pStyle w:val="EndNoteBibliography"/>
        <w:spacing w:after="0"/>
        <w:ind w:left="360" w:hanging="360"/>
        <w:jc w:val="both"/>
      </w:pPr>
      <w:r>
        <w:t>6. Yen YH, Kee KM, Li WF, Liu YW, Wang CC, Hu TH, et al. Stationary Trend in Elevated Serum Alpha-Fetoprotein Level in Hepatocellular Car</w:t>
      </w:r>
      <w:r w:rsidR="00900E20">
        <w:t xml:space="preserve">cinoma Patients. Cancers </w:t>
      </w:r>
      <w:r>
        <w:t>. 2023;15:43-67.</w:t>
      </w:r>
    </w:p>
    <w:p w14:paraId="4079E7E4" w14:textId="77777777" w:rsidR="00C41BE6" w:rsidRDefault="003568A7" w:rsidP="00D77AE1">
      <w:pPr>
        <w:pStyle w:val="EndNoteBibliography"/>
        <w:spacing w:after="0"/>
        <w:ind w:left="360" w:hanging="360"/>
        <w:jc w:val="both"/>
      </w:pPr>
      <w:r>
        <w:t>7. Park SJ, Jang JY, Jeong SW, Cho YK, Lee SH, Kim SG, et al. Usefulness of AFP, AFP-L3, and PIVKA-II, and their combinations in diagnosing hepatocellular</w:t>
      </w:r>
      <w:r w:rsidR="00900E20">
        <w:t xml:space="preserve"> carcinoma. Medicine</w:t>
      </w:r>
      <w:r>
        <w:t>. 2017;96:58-79.</w:t>
      </w:r>
    </w:p>
    <w:p w14:paraId="1FC1E16F" w14:textId="77777777" w:rsidR="00C41BE6" w:rsidRDefault="003568A7" w:rsidP="00D77AE1">
      <w:pPr>
        <w:pStyle w:val="EndNoteBibliography"/>
        <w:spacing w:after="0"/>
        <w:ind w:left="360" w:hanging="360"/>
        <w:jc w:val="both"/>
      </w:pPr>
      <w:r>
        <w:t>8. Kocabayoglu P, Lade A, Lee YA, Dragomir AC, Sun X, Fiel MI, et al. β-PDGF receptor expressed by hepatic stellate cells regulates fibrosis in murine liver injury, but not carcinogenesis. J Hepatol. 2015;63:41-7.</w:t>
      </w:r>
    </w:p>
    <w:p w14:paraId="6BF21D5D" w14:textId="77777777" w:rsidR="00C41BE6" w:rsidRDefault="003568A7" w:rsidP="00D77AE1">
      <w:pPr>
        <w:pStyle w:val="EndNoteBibliography"/>
        <w:spacing w:after="0"/>
        <w:ind w:left="360" w:hanging="360"/>
        <w:jc w:val="both"/>
      </w:pPr>
      <w:r>
        <w:t>9. Lambrecht J, Verhulst S, Mannaerts I, Sowa JP, Best J, Canbay A, et al. A PDGFRβ-based score predicts significant liver fibrosis in patients with chronic alcohol abuse, NAFLD and viral liver disease. EBioMedicine. 2019;43:501-12.</w:t>
      </w:r>
    </w:p>
    <w:p w14:paraId="425D61E9" w14:textId="77777777" w:rsidR="00C41BE6" w:rsidRDefault="003568A7" w:rsidP="00D77AE1">
      <w:pPr>
        <w:pStyle w:val="EndNoteBibliography"/>
        <w:spacing w:after="0"/>
        <w:ind w:left="360" w:hanging="360"/>
        <w:jc w:val="both"/>
      </w:pPr>
      <w:r>
        <w:t>10. Kaps L, Schuppan D. Targeting Cancer Associated Fibroblasts in Liver Fibrosis and Liver Cancer Using Nanocarriers. Cells. 2020;9:64-76.</w:t>
      </w:r>
    </w:p>
    <w:p w14:paraId="1381FB7E" w14:textId="77777777" w:rsidR="00C41BE6" w:rsidRDefault="003568A7" w:rsidP="00D77AE1">
      <w:pPr>
        <w:pStyle w:val="EndNoteBibliography"/>
        <w:spacing w:after="0"/>
        <w:ind w:left="360" w:hanging="360"/>
        <w:jc w:val="both"/>
      </w:pPr>
      <w:r>
        <w:t>11. Luo X, He X, Zhang X, Zhao X, Zhang Y, Shi Y, et al. Hepatocellular carcinoma: signaling pathways, targeted therapy, and immunotherapy. MedComm (2020). 2024;5:474-88.</w:t>
      </w:r>
    </w:p>
    <w:p w14:paraId="7C99CE10" w14:textId="77777777" w:rsidR="00C41BE6" w:rsidRDefault="003568A7" w:rsidP="00D77AE1">
      <w:pPr>
        <w:pStyle w:val="EndNoteBibliography"/>
        <w:spacing w:after="0"/>
        <w:ind w:left="360" w:hanging="360"/>
        <w:jc w:val="both"/>
      </w:pPr>
      <w:r>
        <w:t>12. Lambrecht J, Porsch-Özçürümez M, Best J, Jost-Brinkmann F, Roderburg C, Demir M, et al. The APAC Score: A Novel and Highly Performant Serological Tool for Early Diagnosis of Hepatocellular Carcinoma in Patients with Liver Cirrhosis. J Clin Med. 2021;10:51-70.</w:t>
      </w:r>
    </w:p>
    <w:p w14:paraId="33832BFB" w14:textId="77777777" w:rsidR="00C41BE6" w:rsidRDefault="003568A7" w:rsidP="00D77AE1">
      <w:pPr>
        <w:pStyle w:val="EndNoteBibliography"/>
        <w:spacing w:after="0"/>
        <w:ind w:left="360" w:hanging="360"/>
        <w:jc w:val="both"/>
      </w:pPr>
      <w:r>
        <w:t>13. Attallah A, Omran D, Omran M, Albannan M, Zayed R, Saif S, et al. Fibro-Mark: a panel of laboratory parameters for predicting significant fibrosis in chronic hepatitis C patients. Br J Biomed Sci. 2018;75:19-23.</w:t>
      </w:r>
    </w:p>
    <w:p w14:paraId="4A3B12E0" w14:textId="77777777" w:rsidR="00C41BE6" w:rsidRDefault="003568A7" w:rsidP="00D77AE1">
      <w:pPr>
        <w:pStyle w:val="EndNoteBibliography"/>
        <w:spacing w:after="0"/>
        <w:ind w:left="360" w:hanging="360"/>
        <w:jc w:val="both"/>
      </w:pPr>
      <w:r>
        <w:t>14. Singh S, Hoque S, Zekry A, Sowmya A. Radiological Diagnosis of Chronic Liver Disease and Hepatocellular Carcinoma: A Review. J Med Syst. 2023;47:73-7.</w:t>
      </w:r>
    </w:p>
    <w:p w14:paraId="574FFB48" w14:textId="77777777" w:rsidR="00C41BE6" w:rsidRDefault="003568A7" w:rsidP="00D77AE1">
      <w:pPr>
        <w:pStyle w:val="EndNoteBibliography"/>
        <w:spacing w:after="0"/>
        <w:ind w:left="360" w:hanging="360"/>
        <w:jc w:val="both"/>
      </w:pPr>
      <w:r>
        <w:t>15. Woo J, Choi Y. Biomarkers in Detection of Hepatitis C Virus Infection. Pathogens. 2024;13:23-65.</w:t>
      </w:r>
    </w:p>
    <w:p w14:paraId="3267E62E" w14:textId="77777777" w:rsidR="00C41BE6" w:rsidRDefault="003568A7" w:rsidP="00D77AE1">
      <w:pPr>
        <w:pStyle w:val="EndNoteBibliography"/>
        <w:spacing w:after="0"/>
        <w:ind w:left="360" w:hanging="360"/>
        <w:jc w:val="both"/>
      </w:pPr>
      <w:r>
        <w:t>16. Ndiaye AJS, Diop-Ndiaye H, Lo G, Dia A, Diakhaby M, Sow A, et al. Detection and quantitation of hepatitis B surface antigen (HBsAg) on dried blood spots: a solution for easy access for hepatitis B diagnosis and elimination in remote areas. Pan Afr Med J. 2022;42:100-34.</w:t>
      </w:r>
    </w:p>
    <w:p w14:paraId="56F63133" w14:textId="77777777" w:rsidR="00C41BE6" w:rsidRDefault="003568A7" w:rsidP="00D77AE1">
      <w:pPr>
        <w:pStyle w:val="EndNoteBibliography"/>
        <w:spacing w:after="0"/>
        <w:ind w:left="360" w:hanging="360"/>
        <w:jc w:val="both"/>
      </w:pPr>
      <w:r>
        <w:t>17. Bray C, Bell LN, Liang H, Haykal R, Kaiksow F, Mazza JJ, et al. Erythrocyte Sedimentation Rate and C-reactive Protein Measurements and Their Relevance in Clinical Medicine. WMJ. 2016;115:17-21.</w:t>
      </w:r>
    </w:p>
    <w:p w14:paraId="3DCA5E19" w14:textId="77777777" w:rsidR="00C41BE6" w:rsidRDefault="003568A7" w:rsidP="00D77AE1">
      <w:pPr>
        <w:pStyle w:val="EndNoteBibliography"/>
        <w:spacing w:after="0"/>
        <w:ind w:left="360" w:hanging="360"/>
        <w:jc w:val="both"/>
      </w:pPr>
      <w:r>
        <w:t>18. Alzahrani N, Alouffi S, Almutairi K, Almutairi M, Almutairi T, Alwan IA, et al. Can Fasting Blood Sugar be Used as an Indicator of Long-Term Diabetic Control Instead of Estimated Average Glucose? Clin Lab. 2020;66:30-76.</w:t>
      </w:r>
    </w:p>
    <w:p w14:paraId="1788C67E" w14:textId="77777777" w:rsidR="00C41BE6" w:rsidRPr="00F43CFF" w:rsidRDefault="003568A7" w:rsidP="00D77AE1">
      <w:pPr>
        <w:pStyle w:val="EndNoteBibliography"/>
        <w:spacing w:after="0"/>
        <w:ind w:left="360" w:hanging="360"/>
        <w:jc w:val="both"/>
        <w:rPr>
          <w:lang w:val="nl-NL"/>
        </w:rPr>
      </w:pPr>
      <w:r>
        <w:lastRenderedPageBreak/>
        <w:t xml:space="preserve">19. Gu D, Wang Y, Ren B, Wang L, Zhang K, Yuan Y. Comparison of Three Routine Methods for the Measurement of Serum Bilirubin in a China Laboratory. </w:t>
      </w:r>
      <w:r w:rsidRPr="00F43CFF">
        <w:rPr>
          <w:lang w:val="nl-NL"/>
        </w:rPr>
        <w:t>Clin Lab. 2018;64:1485-90.</w:t>
      </w:r>
    </w:p>
    <w:p w14:paraId="75338857" w14:textId="77777777" w:rsidR="00C41BE6" w:rsidRDefault="003568A7" w:rsidP="00D77AE1">
      <w:pPr>
        <w:pStyle w:val="EndNoteBibliography"/>
        <w:spacing w:after="0"/>
        <w:ind w:left="360" w:hanging="360"/>
        <w:jc w:val="both"/>
      </w:pPr>
      <w:r w:rsidRPr="00F43CFF">
        <w:rPr>
          <w:lang w:val="nl-NL"/>
        </w:rPr>
        <w:t xml:space="preserve">20. van Schrojenstein Lantman M, van de Logt AE, Thelen M, Wetzels JF, van Berkel M. Serum albumin measurement in nephrology: room for improvement. </w:t>
      </w:r>
      <w:r>
        <w:t>Nephrol Dial Transplant. 2022;37:1792-9.</w:t>
      </w:r>
    </w:p>
    <w:p w14:paraId="55027720" w14:textId="77777777" w:rsidR="00C41BE6" w:rsidRPr="00F43CFF" w:rsidRDefault="003568A7" w:rsidP="00D77AE1">
      <w:pPr>
        <w:pStyle w:val="EndNoteBibliography"/>
        <w:spacing w:after="0"/>
        <w:ind w:left="360" w:hanging="360"/>
        <w:jc w:val="both"/>
        <w:rPr>
          <w:lang w:val="nl-NL"/>
        </w:rPr>
      </w:pPr>
      <w:r>
        <w:t xml:space="preserve">21. Munoli AS, Mantur PG, Jalawadi VM. Child-Pugh Score and Vitamin D: Exploring a New Frontier in Liver Cirrhosis Assessment. </w:t>
      </w:r>
      <w:r w:rsidRPr="00F43CFF">
        <w:rPr>
          <w:lang w:val="nl-NL"/>
        </w:rPr>
        <w:t>Cureus. 2024;16:74-8.</w:t>
      </w:r>
    </w:p>
    <w:p w14:paraId="5AA0FAD6" w14:textId="77777777" w:rsidR="00C41BE6" w:rsidRDefault="003568A7" w:rsidP="00D77AE1">
      <w:pPr>
        <w:pStyle w:val="EndNoteBibliography"/>
        <w:spacing w:after="0"/>
        <w:ind w:left="360" w:hanging="360"/>
        <w:jc w:val="both"/>
      </w:pPr>
      <w:r w:rsidRPr="00F43CFF">
        <w:rPr>
          <w:lang w:val="nl-NL"/>
        </w:rPr>
        <w:t xml:space="preserve">22. Emenena I, Emenena B, Kweki AG, Aiwuyo HO, Osarenkhoe JO, Iloeje UN, et al. </w:t>
      </w:r>
      <w:r>
        <w:t>Model for End Stage Liver Disease (MELD) Score: A Tool for Prognosis and Prediction of Mortality in Patients With Decompensated Liver Cirrhosis. Cureus. 2023;15:39-67.</w:t>
      </w:r>
    </w:p>
    <w:p w14:paraId="6CC3D961" w14:textId="77777777" w:rsidR="00C41BE6" w:rsidRDefault="003568A7" w:rsidP="00D77AE1">
      <w:pPr>
        <w:pStyle w:val="EndNoteBibliography"/>
        <w:spacing w:after="0"/>
        <w:ind w:left="360" w:hanging="360"/>
        <w:jc w:val="both"/>
      </w:pPr>
      <w:r>
        <w:t>23. Manolov R, Rochat L. Analyzing data in single-case experimental designs: Objectives and available software options. J Behav Cogn Ther. 2024;34:10-51.</w:t>
      </w:r>
    </w:p>
    <w:p w14:paraId="30773ED2" w14:textId="77777777" w:rsidR="00C41BE6" w:rsidRDefault="003568A7" w:rsidP="00D77AE1">
      <w:pPr>
        <w:pStyle w:val="EndNoteBibliography"/>
        <w:spacing w:after="0"/>
        <w:ind w:left="360" w:hanging="360"/>
        <w:jc w:val="both"/>
      </w:pPr>
      <w:r>
        <w:t>24. Abudeif A. Epidemiology and Risk Factors of Hepatocellular Carcinoma in Egypt. Sohag Med J. 2019;23:8-12.</w:t>
      </w:r>
    </w:p>
    <w:p w14:paraId="69B1DD5F" w14:textId="77777777" w:rsidR="00C41BE6" w:rsidRDefault="003568A7" w:rsidP="00D77AE1">
      <w:pPr>
        <w:pStyle w:val="EndNoteBibliography"/>
        <w:spacing w:after="0"/>
        <w:ind w:left="360" w:hanging="360"/>
        <w:jc w:val="both"/>
      </w:pPr>
      <w:r>
        <w:t>25. Wang Z, Qin H, Liu S, Sheng J, Zhang X. Precision diagnosis of hepatocellular carcinoma. Chin Med J (Engl). 2023;136:1155-65.</w:t>
      </w:r>
    </w:p>
    <w:p w14:paraId="6786729B" w14:textId="77777777" w:rsidR="00C41BE6" w:rsidRPr="00F43CFF" w:rsidRDefault="003568A7" w:rsidP="00D77AE1">
      <w:pPr>
        <w:pStyle w:val="EndNoteBibliography"/>
        <w:spacing w:after="0"/>
        <w:ind w:left="360" w:hanging="360"/>
        <w:jc w:val="both"/>
        <w:rPr>
          <w:lang w:val="nl-NL"/>
        </w:rPr>
      </w:pPr>
      <w:r>
        <w:t xml:space="preserve">26. Chen B, Liu J, Wang X, Shen Q, Li C, Dai C. Co-expression of PDGF-B and VEGFR-3 strongly correlates with poor prognosis in hepatocellular carcinoma patients after hepatectomy. </w:t>
      </w:r>
      <w:r w:rsidRPr="00F43CFF">
        <w:rPr>
          <w:lang w:val="nl-NL"/>
        </w:rPr>
        <w:t>Clin Res Hepatol Gastroenterol. 2018;42:126-33.</w:t>
      </w:r>
    </w:p>
    <w:p w14:paraId="2BE79022" w14:textId="77777777" w:rsidR="00C41BE6" w:rsidRDefault="003568A7" w:rsidP="00D77AE1">
      <w:pPr>
        <w:pStyle w:val="EndNoteBibliography"/>
        <w:spacing w:after="0"/>
        <w:ind w:left="360" w:hanging="360"/>
        <w:jc w:val="both"/>
      </w:pPr>
      <w:r w:rsidRPr="00F43CFF">
        <w:rPr>
          <w:lang w:val="nl-NL"/>
        </w:rPr>
        <w:t xml:space="preserve">27. Borkham-Kamphorst E, Kovalenko E, van Roeyen CRC, Gassler N, Bomble M, Ostendorf T, et al. </w:t>
      </w:r>
      <w:r>
        <w:t>Platelet-derived growth factor isoform expression in carbon tetrachloride-induced chronic liver injury. Lab Invest. 2008;88:1090-100.</w:t>
      </w:r>
    </w:p>
    <w:p w14:paraId="6D912A70" w14:textId="77777777" w:rsidR="00C41BE6" w:rsidRPr="00F43CFF" w:rsidRDefault="003568A7" w:rsidP="00D77AE1">
      <w:pPr>
        <w:pStyle w:val="EndNoteBibliography"/>
        <w:spacing w:after="0"/>
        <w:ind w:left="360" w:hanging="360"/>
        <w:jc w:val="both"/>
        <w:rPr>
          <w:lang w:val="nl-NL"/>
        </w:rPr>
      </w:pPr>
      <w:r>
        <w:t xml:space="preserve">28. Kaps L, Schuppan D. Targeting cancer associated fibroblasts in liver fibrosis and liver cancer using nanocarriers. </w:t>
      </w:r>
      <w:r w:rsidRPr="00F43CFF">
        <w:rPr>
          <w:lang w:val="nl-NL"/>
        </w:rPr>
        <w:t>Cells. 2020;9:2027.</w:t>
      </w:r>
    </w:p>
    <w:p w14:paraId="7515EC77" w14:textId="77777777" w:rsidR="00C41BE6" w:rsidRDefault="003568A7" w:rsidP="00D77AE1">
      <w:pPr>
        <w:pStyle w:val="EndNoteBibliography"/>
        <w:spacing w:after="0"/>
        <w:ind w:left="360" w:hanging="360"/>
        <w:jc w:val="both"/>
      </w:pPr>
      <w:r w:rsidRPr="00F43CFF">
        <w:rPr>
          <w:lang w:val="nl-NL"/>
        </w:rPr>
        <w:t xml:space="preserve">29. Lambrecht J, Porsch-Özçürümez M, Best J, Jost-Brinkmann F, Roderburg C, Demir M, et al. </w:t>
      </w:r>
      <w:r>
        <w:t>The APAC Score: A Novel and Highly Performant Serological Tool for Early Diagnosis of Hepatocellular Carcinoma in Patients with Liver Cirrhosis. J Clin Med. 2021;10.</w:t>
      </w:r>
    </w:p>
    <w:p w14:paraId="651D9314" w14:textId="77777777" w:rsidR="00C41BE6" w:rsidRDefault="003568A7" w:rsidP="00D77AE1">
      <w:pPr>
        <w:pStyle w:val="EndNoteBibliography"/>
        <w:spacing w:after="0"/>
        <w:ind w:left="360" w:hanging="360"/>
        <w:jc w:val="both"/>
      </w:pPr>
      <w:r>
        <w:t>30. Lamb C, Tham J, Goh TL, Barclay S, Priest M, Forrest EH, et al. Comparison between patient characteristics, aetiology and outcomes in patients with and without cirrhosis with hepatocellular carcinoma diagnosed in a regional centre. Frontline Gastroenterol. 2024;15:380-6.</w:t>
      </w:r>
    </w:p>
    <w:p w14:paraId="3AA05E3A" w14:textId="77777777" w:rsidR="00C41BE6" w:rsidRDefault="003568A7" w:rsidP="00D77AE1">
      <w:pPr>
        <w:pStyle w:val="EndNoteBibliography"/>
        <w:spacing w:after="0"/>
        <w:ind w:left="360" w:hanging="360"/>
        <w:jc w:val="both"/>
      </w:pPr>
      <w:r>
        <w:t>31. Yen YH, Li WF, Kee KM, Wang CC. Prognosis of patients with hepatocellular carcinoma: Sex does not matter. Adv Dig Med. 2024;11:65-73.</w:t>
      </w:r>
    </w:p>
    <w:p w14:paraId="354BA97E" w14:textId="77777777" w:rsidR="00C41BE6" w:rsidRDefault="003568A7" w:rsidP="00D77AE1">
      <w:pPr>
        <w:pStyle w:val="EndNoteBibliography"/>
        <w:spacing w:after="0"/>
        <w:ind w:left="360" w:hanging="360"/>
        <w:jc w:val="both"/>
      </w:pPr>
      <w:r>
        <w:t>32. Nevola R, Tortorella G, Rosato V, Rinaldi L, Imbriani S, Perillo P, et al. Gender Differences in the Pathogenesis and Risk Factors of Hepatocellul</w:t>
      </w:r>
      <w:r w:rsidR="00900E20">
        <w:t>ar Carcinoma. Biology</w:t>
      </w:r>
      <w:r>
        <w:t>. 2023;12:43-65.</w:t>
      </w:r>
    </w:p>
    <w:p w14:paraId="32B2191F" w14:textId="77777777" w:rsidR="00C41BE6" w:rsidRDefault="003568A7" w:rsidP="00D77AE1">
      <w:pPr>
        <w:pStyle w:val="EndNoteBibliography"/>
        <w:spacing w:after="0"/>
        <w:ind w:left="360" w:hanging="360"/>
        <w:jc w:val="both"/>
      </w:pPr>
      <w:r>
        <w:t>33. David NP, Davwar PM, Duguru MJ, Makpu JD, Okwute A, Stephen MI, et al. The Erythrocyte Sedimentation Rate as a Potential Hepatocellular Cancer Surveillance Tool. Gastroenterology, Hepatology and Endoscopy Practice. 2022;2:87-90.</w:t>
      </w:r>
    </w:p>
    <w:p w14:paraId="757A85A3" w14:textId="77777777" w:rsidR="00C52817" w:rsidRDefault="003568A7" w:rsidP="00D77AE1">
      <w:pPr>
        <w:pStyle w:val="EndNoteBibliography"/>
        <w:spacing w:after="0"/>
        <w:ind w:left="360" w:hanging="360"/>
        <w:jc w:val="both"/>
      </w:pPr>
      <w:r>
        <w:t>34. Omar MZ, Gouda MH, Elbehisy MM. Mean Platelet Volume and Mean Platelet Volume/Platelet Count Ratio as Diagnostic Markers for Hepatocellular Carcinoma in Chronic Hepatitis C Patients. Afro-Egypt J Infect Enem Dis. 2018;8:15-23.</w:t>
      </w:r>
    </w:p>
    <w:p w14:paraId="7865B413" w14:textId="77777777" w:rsidR="00C41BE6" w:rsidRPr="00F43CFF" w:rsidRDefault="003568A7" w:rsidP="00D77AE1">
      <w:pPr>
        <w:pStyle w:val="EndNoteBibliography"/>
        <w:spacing w:after="0"/>
        <w:ind w:left="360" w:hanging="360"/>
        <w:jc w:val="both"/>
        <w:rPr>
          <w:lang w:val="nl-NL"/>
        </w:rPr>
      </w:pPr>
      <w:r>
        <w:lastRenderedPageBreak/>
        <w:t xml:space="preserve">35. Avcı GU, Kanat BB, Durmuş RB, Döventaş A. Sorafenib as Salvage Therapy after Radioembolization in a Patient with Huge Hepatocellular Carcinoma in a Geriatric Patient with Normal Alfa-Feta Protein Levels: A Case Report. </w:t>
      </w:r>
      <w:r w:rsidRPr="00F43CFF">
        <w:rPr>
          <w:lang w:val="nl-NL"/>
        </w:rPr>
        <w:t>Eur J Geriatr Gerontol. 2023:42-65.</w:t>
      </w:r>
    </w:p>
    <w:p w14:paraId="70BA3276" w14:textId="77777777" w:rsidR="00C41BE6" w:rsidRDefault="003568A7" w:rsidP="00D77AE1">
      <w:pPr>
        <w:pStyle w:val="EndNoteBibliography"/>
        <w:spacing w:after="0"/>
        <w:ind w:left="360" w:hanging="360"/>
        <w:jc w:val="both"/>
      </w:pPr>
      <w:r w:rsidRPr="00F43CFF">
        <w:rPr>
          <w:lang w:val="nl-NL"/>
        </w:rPr>
        <w:t xml:space="preserve">36. Zhou L, Wang SB, Chen SG, Qu Q, Rui JA. </w:t>
      </w:r>
      <w:r>
        <w:t>Prognostic Value of ALT, AST, and AAR in Hepatocellular Carcinoma with B-Type Hepatitis-Associated Cirrhosis after Radical Hepatectomy. Clin Lab. 2018;64:1739-47.</w:t>
      </w:r>
    </w:p>
    <w:p w14:paraId="322ED8EC" w14:textId="77777777" w:rsidR="00C41BE6" w:rsidRDefault="003568A7" w:rsidP="00D77AE1">
      <w:pPr>
        <w:pStyle w:val="EndNoteBibliography"/>
        <w:spacing w:after="0"/>
        <w:ind w:left="360" w:hanging="360"/>
        <w:jc w:val="both"/>
      </w:pPr>
      <w:r>
        <w:t>37. Zhang LX, Lv Y, Xu AM, Wang HZ. The prognostic significance of serum gamma-glutamyltransferase levels and AST/ALT in primary hepatic carcinoma. BMC Cancer. 2019;19:841-76.</w:t>
      </w:r>
    </w:p>
    <w:p w14:paraId="4A44998B" w14:textId="77777777" w:rsidR="00C41BE6" w:rsidRDefault="003568A7" w:rsidP="00D77AE1">
      <w:pPr>
        <w:pStyle w:val="EndNoteBibliography"/>
        <w:spacing w:after="0"/>
        <w:ind w:left="360" w:hanging="360"/>
        <w:jc w:val="both"/>
      </w:pPr>
      <w:r>
        <w:t>38. Shukla A, Patkar S, Sundaram S, Shah SR, Ingle M, Gupta A, et al. Clinical Profile, Patterns of Care &amp; adherence to Guidelines in Patients with Hepatocellular Carcinoma: Prospective multi-center Study. J Clin Exp Hepatol. 2022;12:1463-73.</w:t>
      </w:r>
    </w:p>
    <w:p w14:paraId="44C35219" w14:textId="77777777" w:rsidR="00C41BE6" w:rsidRDefault="003568A7" w:rsidP="00D77AE1">
      <w:pPr>
        <w:pStyle w:val="EndNoteBibliography"/>
        <w:spacing w:after="0"/>
        <w:ind w:left="360" w:hanging="360"/>
        <w:jc w:val="both"/>
      </w:pPr>
      <w:r>
        <w:t>39. Costa F, Wiedenmann B, Roderburg C, Mohr R, Abou-Alfa GK. Systemic treatment in patients with Child-Pugh B liver dysfunction and advanced hepatocellular carcinoma. Cancer Med. 2023;12:13978-90.</w:t>
      </w:r>
    </w:p>
    <w:p w14:paraId="14315271" w14:textId="77777777" w:rsidR="00C41BE6" w:rsidRDefault="003568A7" w:rsidP="00D77AE1">
      <w:pPr>
        <w:pStyle w:val="EndNoteBibliography"/>
        <w:spacing w:after="0"/>
        <w:ind w:left="360" w:hanging="360"/>
        <w:jc w:val="both"/>
      </w:pPr>
      <w:r>
        <w:t>40. Khursheed AA, Khan MR. Early detection of HCC in patients with cirrhosis using AI; a Systematic Review. J Pak Med Assoc. 2024;74:29-36.</w:t>
      </w:r>
    </w:p>
    <w:p w14:paraId="433465DC" w14:textId="77777777" w:rsidR="00C41BE6" w:rsidRDefault="003568A7" w:rsidP="00D77AE1">
      <w:pPr>
        <w:pStyle w:val="EndNoteBibliography"/>
        <w:spacing w:after="0"/>
        <w:ind w:left="360" w:hanging="360"/>
        <w:jc w:val="both"/>
      </w:pPr>
      <w:r>
        <w:t>41. Wei T, Zhang LN, Lv Y, Ma XY, Zhi L, Liu C, et al. Overexpression of platelet-derived growth factor receptor alpha promotes tumor progression and indicates poor prognosis in hepatocellular carcinoma. Oncotarget. 2014;5:10-7.</w:t>
      </w:r>
    </w:p>
    <w:p w14:paraId="4C347439" w14:textId="77777777" w:rsidR="00C41BE6" w:rsidRDefault="003568A7" w:rsidP="00D77AE1">
      <w:pPr>
        <w:pStyle w:val="EndNoteBibliography"/>
        <w:spacing w:after="0"/>
        <w:ind w:left="360" w:hanging="360"/>
        <w:jc w:val="both"/>
      </w:pPr>
      <w:r>
        <w:t>42. Mehinovic L, Islamagic E, Husic-Selimovic A, Kurtovic-Kozaric A, Vukobrat-Bijedic Z, Suljevic D. Evaluation of Diagnostic Efficiency of Alpha-Fetoprotein in Patients with Liver Cirrhosis and Hepatocellular Carcinoma: Single-Center Experience. Open Access Maced J Med Sci. 2018;6:1668-73.</w:t>
      </w:r>
    </w:p>
    <w:p w14:paraId="135B9D9B" w14:textId="77777777" w:rsidR="00C41BE6" w:rsidRDefault="003568A7" w:rsidP="00D77AE1">
      <w:pPr>
        <w:pStyle w:val="EndNoteBibliography"/>
        <w:spacing w:after="0"/>
        <w:ind w:left="360" w:hanging="360"/>
        <w:jc w:val="both"/>
      </w:pPr>
      <w:r>
        <w:t>43. Fares S, Wehrle CJ, Hong H, Sun K, Jiao C, Zhang M, et al. Emerging and Clinically Accepted Biomarkers for Hepatocel</w:t>
      </w:r>
      <w:r w:rsidR="00900E20">
        <w:t>lular Carcinoma. Cancers</w:t>
      </w:r>
      <w:r>
        <w:t>. 2024;16:41-65.</w:t>
      </w:r>
    </w:p>
    <w:p w14:paraId="3CB9F031" w14:textId="77777777" w:rsidR="00C41BE6" w:rsidRDefault="003568A7" w:rsidP="00D77AE1">
      <w:pPr>
        <w:pStyle w:val="EndNoteBibliography"/>
        <w:spacing w:after="0"/>
        <w:ind w:left="360" w:hanging="360"/>
        <w:jc w:val="both"/>
      </w:pPr>
      <w:r>
        <w:t>44. Zhu K, Dai Z, Zhou J. Biomarkers for hepatocellular carcinoma: progression in early diagnosis, prognosis, and personalized therapy. Biomark Res. 2013;1:10-43.</w:t>
      </w:r>
    </w:p>
    <w:p w14:paraId="44405A12" w14:textId="77777777" w:rsidR="00C41BE6" w:rsidRDefault="003568A7" w:rsidP="00D77AE1">
      <w:pPr>
        <w:pStyle w:val="EndNoteBibliography"/>
        <w:spacing w:after="0"/>
        <w:ind w:left="360" w:hanging="360"/>
        <w:jc w:val="both"/>
      </w:pPr>
      <w:r>
        <w:t>45. Aryal B, Yamakuchi M, Shimizu T, Kadono J, Furoi A, Gejima K, et al. Predictive Value of Diminished Serum PDGF-BB after Curative Resection of Hepatocellular Cancer. J Oncol. 2019;2019:19-25.</w:t>
      </w:r>
    </w:p>
    <w:p w14:paraId="73CC4F4F" w14:textId="77777777" w:rsidR="00C41BE6" w:rsidRDefault="003568A7" w:rsidP="00D77AE1">
      <w:pPr>
        <w:pStyle w:val="EndNoteBibliography"/>
        <w:spacing w:after="0"/>
        <w:ind w:left="360" w:hanging="360"/>
        <w:jc w:val="both"/>
      </w:pPr>
      <w:r>
        <w:t>46. Piratvisuth T, Tanwandee T, Thongsawat S, Sukeepaisarnjaroen W, Esteban JI, Bes M, et al. Multimarker Panels for Detection of Early Stage Hepatocellular Carcinoma: A Prospective, Multicenter, Case-Control Study. Hepatol Commun. 2022;6:679-91.</w:t>
      </w:r>
    </w:p>
    <w:p w14:paraId="000B83B0" w14:textId="77777777" w:rsidR="00C41BE6" w:rsidRDefault="003568A7" w:rsidP="00D77AE1">
      <w:pPr>
        <w:pStyle w:val="EndNoteBibliography"/>
        <w:ind w:left="360" w:hanging="360"/>
        <w:jc w:val="both"/>
      </w:pPr>
      <w:r>
        <w:t>47. Ke K, Chen G, Cai Z, Huang Y, Zhao B, Wang Y, et al. Evaluation and prediction of hepatocellular carcinoma prognosis based on molecular classification. Cancer Manag Res. 2018;10:5291-9.</w:t>
      </w:r>
    </w:p>
    <w:p w14:paraId="54C79F53" w14:textId="77777777" w:rsidR="00C41BE6" w:rsidRDefault="003568A7" w:rsidP="00D77AE1">
      <w:pPr>
        <w:pStyle w:val="EndNoteBibliography"/>
        <w:ind w:left="360" w:hanging="360"/>
        <w:jc w:val="both"/>
        <w:rPr>
          <w:rFonts w:eastAsia="Times New Roman"/>
          <w:highlight w:val="yellow"/>
        </w:rPr>
      </w:pPr>
      <w:r>
        <w:rPr>
          <w:szCs w:val="24"/>
          <w:highlight w:val="yellow"/>
        </w:rPr>
        <w:fldChar w:fldCharType="end"/>
      </w:r>
      <w:r>
        <w:rPr>
          <w:highlight w:val="yellow"/>
        </w:rPr>
        <w:br w:type="page"/>
      </w:r>
    </w:p>
    <w:p w14:paraId="09380953" w14:textId="77777777" w:rsidR="00C41BE6" w:rsidRDefault="003568A7">
      <w:pPr>
        <w:pStyle w:val="Caption"/>
        <w:spacing w:after="0"/>
        <w:jc w:val="both"/>
      </w:pPr>
      <w:r>
        <w:lastRenderedPageBreak/>
        <w:t xml:space="preserve">Table </w:t>
      </w:r>
      <w:r>
        <w:fldChar w:fldCharType="begin"/>
      </w:r>
      <w:r>
        <w:instrText xml:space="preserve"> SEQ Table \* ARABIC </w:instrText>
      </w:r>
      <w:r>
        <w:fldChar w:fldCharType="separate"/>
      </w:r>
      <w:r w:rsidR="00DA6F31">
        <w:rPr>
          <w:noProof/>
        </w:rPr>
        <w:t>1</w:t>
      </w:r>
      <w:r>
        <w:fldChar w:fldCharType="end"/>
      </w:r>
      <w:r>
        <w:t>: Demographic data of the studied groups</w:t>
      </w:r>
    </w:p>
    <w:tbl>
      <w:tblPr>
        <w:tblStyle w:val="GridTable6Colorful11"/>
        <w:tblW w:w="5000" w:type="pct"/>
        <w:tblLayout w:type="fixed"/>
        <w:tblLook w:val="04A0" w:firstRow="1" w:lastRow="0" w:firstColumn="1" w:lastColumn="0" w:noHBand="0" w:noVBand="1"/>
      </w:tblPr>
      <w:tblGrid>
        <w:gridCol w:w="1414"/>
        <w:gridCol w:w="1843"/>
        <w:gridCol w:w="849"/>
        <w:gridCol w:w="763"/>
        <w:gridCol w:w="708"/>
        <w:gridCol w:w="939"/>
        <w:gridCol w:w="1132"/>
        <w:gridCol w:w="982"/>
      </w:tblGrid>
      <w:tr w:rsidR="00C41BE6" w14:paraId="73706253" w14:textId="77777777" w:rsidTr="00C41B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7" w:type="pct"/>
            <w:gridSpan w:val="2"/>
            <w:vMerge w:val="restart"/>
            <w:vAlign w:val="center"/>
          </w:tcPr>
          <w:p w14:paraId="45CA71EB" w14:textId="77777777" w:rsidR="00C41BE6" w:rsidRDefault="003568A7">
            <w:pPr>
              <w:jc w:val="center"/>
              <w:rPr>
                <w:rFonts w:ascii="Times New Roman" w:hAnsi="Times New Roman" w:cs="Times New Roman"/>
              </w:rPr>
            </w:pPr>
            <w:r>
              <w:rPr>
                <w:rFonts w:ascii="Times New Roman" w:hAnsi="Times New Roman" w:cs="Times New Roman"/>
              </w:rPr>
              <w:t>Variables</w:t>
            </w:r>
          </w:p>
        </w:tc>
        <w:tc>
          <w:tcPr>
            <w:tcW w:w="934" w:type="pct"/>
            <w:gridSpan w:val="2"/>
            <w:vAlign w:val="center"/>
          </w:tcPr>
          <w:p w14:paraId="02812A21"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Cirrhotic without HCC</w:t>
            </w:r>
          </w:p>
          <w:p w14:paraId="3039DABA"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 = 40</w:t>
            </w:r>
          </w:p>
        </w:tc>
        <w:tc>
          <w:tcPr>
            <w:tcW w:w="954" w:type="pct"/>
            <w:gridSpan w:val="2"/>
            <w:vAlign w:val="center"/>
          </w:tcPr>
          <w:p w14:paraId="3688E7E4"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Cirrhotic with HCC</w:t>
            </w:r>
          </w:p>
          <w:p w14:paraId="3D34E9E6"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 = 40</w:t>
            </w:r>
          </w:p>
        </w:tc>
        <w:tc>
          <w:tcPr>
            <w:tcW w:w="656" w:type="pct"/>
            <w:vMerge w:val="restart"/>
            <w:vAlign w:val="center"/>
          </w:tcPr>
          <w:p w14:paraId="31FDEEC1"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Test</w:t>
            </w:r>
          </w:p>
        </w:tc>
        <w:tc>
          <w:tcPr>
            <w:tcW w:w="569" w:type="pct"/>
            <w:vMerge w:val="restart"/>
            <w:vAlign w:val="center"/>
          </w:tcPr>
          <w:p w14:paraId="75BD1F8D"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C41BE6" w14:paraId="2297DE74"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7" w:type="pct"/>
            <w:gridSpan w:val="2"/>
            <w:vMerge/>
            <w:vAlign w:val="center"/>
          </w:tcPr>
          <w:p w14:paraId="3978FEF7" w14:textId="77777777" w:rsidR="00C41BE6" w:rsidRDefault="00C41BE6">
            <w:pPr>
              <w:jc w:val="center"/>
              <w:rPr>
                <w:rFonts w:ascii="Times New Roman" w:hAnsi="Times New Roman" w:cs="Times New Roman"/>
              </w:rPr>
            </w:pPr>
          </w:p>
        </w:tc>
        <w:tc>
          <w:tcPr>
            <w:tcW w:w="492" w:type="pct"/>
            <w:vAlign w:val="center"/>
          </w:tcPr>
          <w:p w14:paraId="71DA2A7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No.</w:t>
            </w:r>
          </w:p>
        </w:tc>
        <w:tc>
          <w:tcPr>
            <w:tcW w:w="442" w:type="pct"/>
            <w:vAlign w:val="center"/>
          </w:tcPr>
          <w:p w14:paraId="599BDDD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p>
        </w:tc>
        <w:tc>
          <w:tcPr>
            <w:tcW w:w="410" w:type="pct"/>
            <w:vAlign w:val="center"/>
          </w:tcPr>
          <w:p w14:paraId="4B99529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No.</w:t>
            </w:r>
          </w:p>
        </w:tc>
        <w:tc>
          <w:tcPr>
            <w:tcW w:w="544" w:type="pct"/>
            <w:vAlign w:val="center"/>
          </w:tcPr>
          <w:p w14:paraId="54028FD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p>
        </w:tc>
        <w:tc>
          <w:tcPr>
            <w:tcW w:w="656" w:type="pct"/>
            <w:vMerge/>
            <w:vAlign w:val="center"/>
          </w:tcPr>
          <w:p w14:paraId="015550A0"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569" w:type="pct"/>
            <w:vMerge/>
            <w:vAlign w:val="center"/>
          </w:tcPr>
          <w:p w14:paraId="4102C6F8"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C41BE6" w14:paraId="7DC409D5"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819" w:type="pct"/>
            <w:vMerge w:val="restart"/>
            <w:vAlign w:val="center"/>
          </w:tcPr>
          <w:p w14:paraId="373DDC96" w14:textId="77777777" w:rsidR="00C41BE6" w:rsidRDefault="003568A7">
            <w:pPr>
              <w:jc w:val="center"/>
              <w:rPr>
                <w:rFonts w:ascii="Times New Roman" w:hAnsi="Times New Roman" w:cs="Times New Roman"/>
              </w:rPr>
            </w:pPr>
            <w:r>
              <w:rPr>
                <w:rFonts w:ascii="Times New Roman" w:hAnsi="Times New Roman" w:cs="Times New Roman"/>
              </w:rPr>
              <w:t>Sex</w:t>
            </w:r>
          </w:p>
        </w:tc>
        <w:tc>
          <w:tcPr>
            <w:tcW w:w="1068" w:type="pct"/>
            <w:vAlign w:val="center"/>
          </w:tcPr>
          <w:p w14:paraId="5B44352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Male</w:t>
            </w:r>
          </w:p>
        </w:tc>
        <w:tc>
          <w:tcPr>
            <w:tcW w:w="492" w:type="pct"/>
            <w:vAlign w:val="center"/>
          </w:tcPr>
          <w:p w14:paraId="62B881D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c>
          <w:tcPr>
            <w:tcW w:w="442" w:type="pct"/>
            <w:vAlign w:val="center"/>
          </w:tcPr>
          <w:p w14:paraId="5B592EE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55.0</w:t>
            </w:r>
          </w:p>
        </w:tc>
        <w:tc>
          <w:tcPr>
            <w:tcW w:w="410" w:type="pct"/>
            <w:vAlign w:val="center"/>
          </w:tcPr>
          <w:p w14:paraId="0769370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c>
          <w:tcPr>
            <w:tcW w:w="544" w:type="pct"/>
            <w:vAlign w:val="center"/>
          </w:tcPr>
          <w:p w14:paraId="6A71AD1C"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55.0</w:t>
            </w:r>
          </w:p>
        </w:tc>
        <w:tc>
          <w:tcPr>
            <w:tcW w:w="656" w:type="pct"/>
            <w:vMerge w:val="restart"/>
            <w:vAlign w:val="center"/>
          </w:tcPr>
          <w:p w14:paraId="260AFEA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X</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br/>
              <w:t>0.0</w:t>
            </w:r>
          </w:p>
        </w:tc>
        <w:tc>
          <w:tcPr>
            <w:tcW w:w="569" w:type="pct"/>
            <w:vMerge w:val="restart"/>
            <w:vAlign w:val="center"/>
          </w:tcPr>
          <w:p w14:paraId="0ED7898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1.000</w:t>
            </w:r>
          </w:p>
        </w:tc>
      </w:tr>
      <w:tr w:rsidR="00C41BE6" w14:paraId="33F27236"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9" w:type="pct"/>
            <w:vMerge/>
            <w:vAlign w:val="center"/>
          </w:tcPr>
          <w:p w14:paraId="64BA3201" w14:textId="77777777" w:rsidR="00C41BE6" w:rsidRDefault="00C41BE6">
            <w:pPr>
              <w:ind w:left="288"/>
              <w:jc w:val="center"/>
              <w:rPr>
                <w:rFonts w:ascii="Times New Roman" w:hAnsi="Times New Roman" w:cs="Times New Roman"/>
              </w:rPr>
            </w:pPr>
          </w:p>
        </w:tc>
        <w:tc>
          <w:tcPr>
            <w:tcW w:w="1068" w:type="pct"/>
            <w:vAlign w:val="center"/>
          </w:tcPr>
          <w:p w14:paraId="561D337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Female</w:t>
            </w:r>
          </w:p>
        </w:tc>
        <w:tc>
          <w:tcPr>
            <w:tcW w:w="492" w:type="pct"/>
            <w:vAlign w:val="center"/>
          </w:tcPr>
          <w:p w14:paraId="394D4E8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tc>
        <w:tc>
          <w:tcPr>
            <w:tcW w:w="442" w:type="pct"/>
            <w:vAlign w:val="center"/>
          </w:tcPr>
          <w:p w14:paraId="65CA5E2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tc>
        <w:tc>
          <w:tcPr>
            <w:tcW w:w="410" w:type="pct"/>
            <w:vAlign w:val="center"/>
          </w:tcPr>
          <w:p w14:paraId="1F8A87C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tc>
        <w:tc>
          <w:tcPr>
            <w:tcW w:w="544" w:type="pct"/>
            <w:vAlign w:val="center"/>
          </w:tcPr>
          <w:p w14:paraId="208700E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tc>
        <w:tc>
          <w:tcPr>
            <w:tcW w:w="656" w:type="pct"/>
            <w:vMerge/>
            <w:vAlign w:val="center"/>
          </w:tcPr>
          <w:p w14:paraId="763A9F8A"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9" w:type="pct"/>
            <w:vMerge/>
            <w:vAlign w:val="center"/>
          </w:tcPr>
          <w:p w14:paraId="42077A7A"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BE6" w14:paraId="7B35A322"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819" w:type="pct"/>
            <w:vMerge w:val="restart"/>
            <w:vAlign w:val="center"/>
          </w:tcPr>
          <w:p w14:paraId="77145DED" w14:textId="77777777" w:rsidR="00C41BE6" w:rsidRDefault="003568A7">
            <w:pPr>
              <w:jc w:val="center"/>
              <w:rPr>
                <w:rFonts w:ascii="Times New Roman" w:hAnsi="Times New Roman" w:cs="Times New Roman"/>
              </w:rPr>
            </w:pPr>
            <w:r>
              <w:rPr>
                <w:rFonts w:ascii="Times New Roman" w:hAnsi="Times New Roman" w:cs="Times New Roman"/>
              </w:rPr>
              <w:t>Age (years)</w:t>
            </w:r>
          </w:p>
        </w:tc>
        <w:tc>
          <w:tcPr>
            <w:tcW w:w="1068" w:type="pct"/>
            <w:vAlign w:val="center"/>
          </w:tcPr>
          <w:p w14:paraId="636444E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Mean ± SD.</w:t>
            </w:r>
          </w:p>
        </w:tc>
        <w:tc>
          <w:tcPr>
            <w:tcW w:w="934" w:type="pct"/>
            <w:gridSpan w:val="2"/>
            <w:vAlign w:val="center"/>
          </w:tcPr>
          <w:p w14:paraId="18B4633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58.65 ± 8.65</w:t>
            </w:r>
          </w:p>
        </w:tc>
        <w:tc>
          <w:tcPr>
            <w:tcW w:w="954" w:type="pct"/>
            <w:gridSpan w:val="2"/>
            <w:vAlign w:val="center"/>
          </w:tcPr>
          <w:p w14:paraId="5B4EA37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54.48 ± 8.96</w:t>
            </w:r>
          </w:p>
        </w:tc>
        <w:tc>
          <w:tcPr>
            <w:tcW w:w="656" w:type="pct"/>
            <w:vMerge w:val="restart"/>
            <w:vAlign w:val="center"/>
          </w:tcPr>
          <w:p w14:paraId="72E1394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w:t>
            </w:r>
            <w:r>
              <w:rPr>
                <w:rFonts w:ascii="Times New Roman" w:hAnsi="Times New Roman" w:cs="Times New Roman"/>
              </w:rPr>
              <w:br/>
              <w:t>2.120*</w:t>
            </w:r>
          </w:p>
        </w:tc>
        <w:tc>
          <w:tcPr>
            <w:tcW w:w="569" w:type="pct"/>
            <w:vMerge w:val="restart"/>
            <w:vAlign w:val="center"/>
          </w:tcPr>
          <w:p w14:paraId="455F7C7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0.037*</w:t>
            </w:r>
          </w:p>
        </w:tc>
      </w:tr>
      <w:tr w:rsidR="00C41BE6" w14:paraId="683100FB"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9" w:type="pct"/>
            <w:vMerge/>
            <w:vAlign w:val="center"/>
          </w:tcPr>
          <w:p w14:paraId="53C0565F" w14:textId="77777777" w:rsidR="00C41BE6" w:rsidRDefault="00C41BE6">
            <w:pPr>
              <w:ind w:left="288"/>
              <w:jc w:val="center"/>
              <w:rPr>
                <w:rFonts w:ascii="Times New Roman" w:hAnsi="Times New Roman" w:cs="Times New Roman"/>
              </w:rPr>
            </w:pPr>
          </w:p>
        </w:tc>
        <w:tc>
          <w:tcPr>
            <w:tcW w:w="1068" w:type="pct"/>
            <w:vAlign w:val="center"/>
          </w:tcPr>
          <w:p w14:paraId="14BE60A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Median</w:t>
            </w:r>
          </w:p>
        </w:tc>
        <w:tc>
          <w:tcPr>
            <w:tcW w:w="934" w:type="pct"/>
            <w:gridSpan w:val="2"/>
            <w:vAlign w:val="center"/>
          </w:tcPr>
          <w:p w14:paraId="668E3D2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60.0</w:t>
            </w:r>
          </w:p>
        </w:tc>
        <w:tc>
          <w:tcPr>
            <w:tcW w:w="954" w:type="pct"/>
            <w:gridSpan w:val="2"/>
            <w:vAlign w:val="center"/>
          </w:tcPr>
          <w:p w14:paraId="79CD0F9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55.50</w:t>
            </w:r>
          </w:p>
        </w:tc>
        <w:tc>
          <w:tcPr>
            <w:tcW w:w="656" w:type="pct"/>
            <w:vMerge/>
            <w:vAlign w:val="center"/>
          </w:tcPr>
          <w:p w14:paraId="4ADC929C"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9" w:type="pct"/>
            <w:vMerge/>
            <w:vAlign w:val="center"/>
          </w:tcPr>
          <w:p w14:paraId="0AF15AB1"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BE6" w14:paraId="3ED6672C"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819" w:type="pct"/>
            <w:vMerge/>
            <w:vAlign w:val="center"/>
          </w:tcPr>
          <w:p w14:paraId="3AFF7E5E" w14:textId="77777777" w:rsidR="00C41BE6" w:rsidRDefault="00C41BE6">
            <w:pPr>
              <w:ind w:left="288"/>
              <w:jc w:val="center"/>
              <w:rPr>
                <w:rFonts w:ascii="Times New Roman" w:hAnsi="Times New Roman" w:cs="Times New Roman"/>
              </w:rPr>
            </w:pPr>
          </w:p>
        </w:tc>
        <w:tc>
          <w:tcPr>
            <w:tcW w:w="1068" w:type="pct"/>
            <w:vAlign w:val="center"/>
          </w:tcPr>
          <w:p w14:paraId="769FA62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Range</w:t>
            </w:r>
          </w:p>
        </w:tc>
        <w:tc>
          <w:tcPr>
            <w:tcW w:w="934" w:type="pct"/>
            <w:gridSpan w:val="2"/>
            <w:vAlign w:val="center"/>
          </w:tcPr>
          <w:p w14:paraId="65B6F7D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42.0 – 80.0</w:t>
            </w:r>
          </w:p>
        </w:tc>
        <w:tc>
          <w:tcPr>
            <w:tcW w:w="954" w:type="pct"/>
            <w:gridSpan w:val="2"/>
            <w:vAlign w:val="center"/>
          </w:tcPr>
          <w:p w14:paraId="374FF2A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39.0 – 75.0</w:t>
            </w:r>
          </w:p>
        </w:tc>
        <w:tc>
          <w:tcPr>
            <w:tcW w:w="656" w:type="pct"/>
            <w:vMerge/>
            <w:vAlign w:val="center"/>
          </w:tcPr>
          <w:p w14:paraId="111D36A2" w14:textId="77777777" w:rsidR="00C41BE6" w:rsidRDefault="00C41BE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69" w:type="pct"/>
            <w:vMerge/>
            <w:vAlign w:val="center"/>
          </w:tcPr>
          <w:p w14:paraId="28C59448" w14:textId="77777777" w:rsidR="00C41BE6" w:rsidRDefault="00C41BE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240D4BB" w14:textId="77777777" w:rsidR="00C41BE6" w:rsidRDefault="003568A7">
      <w:pPr>
        <w:pStyle w:val="F-note"/>
        <w:rPr>
          <w:rFonts w:eastAsia="Calibri"/>
          <w:sz w:val="18"/>
          <w:szCs w:val="18"/>
          <w:highlight w:val="yellow"/>
        </w:rPr>
      </w:pPr>
      <w:r>
        <w:rPr>
          <w:rFonts w:eastAsia="Calibri"/>
          <w:sz w:val="18"/>
          <w:szCs w:val="18"/>
        </w:rPr>
        <w:t xml:space="preserve">Data presents as mean ± SD or frequency (%). DM : Diabetes mellitus, </w:t>
      </w:r>
      <w:proofErr w:type="spellStart"/>
      <w:r>
        <w:rPr>
          <w:rFonts w:eastAsia="Calibri"/>
          <w:sz w:val="18"/>
          <w:szCs w:val="18"/>
        </w:rPr>
        <w:t>OCP:oral</w:t>
      </w:r>
      <w:proofErr w:type="spellEnd"/>
      <w:r>
        <w:rPr>
          <w:rFonts w:eastAsia="Calibri"/>
          <w:sz w:val="18"/>
          <w:szCs w:val="18"/>
        </w:rPr>
        <w:t xml:space="preserve"> contraceptive </w:t>
      </w:r>
      <w:proofErr w:type="spellStart"/>
      <w:r>
        <w:rPr>
          <w:rFonts w:eastAsia="Calibri"/>
          <w:sz w:val="18"/>
          <w:szCs w:val="18"/>
        </w:rPr>
        <w:t>pils</w:t>
      </w:r>
      <w:proofErr w:type="spellEnd"/>
      <w:r>
        <w:rPr>
          <w:rFonts w:eastAsia="Calibri"/>
          <w:sz w:val="18"/>
          <w:szCs w:val="18"/>
        </w:rPr>
        <w:t xml:space="preserve">, SD: Standard deviation, t: Student t test, GIT: gastrointestinal tract ; X2: Chi Square; AFP: alpha-fetoprotein; ALT: alanine aminotransferase; AST: aspartate aminotransferase; ESR: erythrocyte sedimentation </w:t>
      </w:r>
      <w:proofErr w:type="spellStart"/>
      <w:r>
        <w:rPr>
          <w:rFonts w:eastAsia="Calibri"/>
          <w:sz w:val="18"/>
          <w:szCs w:val="18"/>
        </w:rPr>
        <w:t>rate;FBS</w:t>
      </w:r>
      <w:proofErr w:type="spellEnd"/>
      <w:r>
        <w:rPr>
          <w:rFonts w:eastAsia="Calibri"/>
          <w:sz w:val="18"/>
          <w:szCs w:val="18"/>
        </w:rPr>
        <w:t>: fasting blood sugar ;Hb: hemoglobin; WBC: white blood cells ; SD: Standard deviation ;  U: Mann Whitney ; t: Student t test ; *: significant when p value &lt;0.05.</w:t>
      </w:r>
    </w:p>
    <w:p w14:paraId="4C2DEA4A" w14:textId="77777777" w:rsidR="00C41BE6" w:rsidRDefault="00D77AE1" w:rsidP="00D77AE1">
      <w:pPr>
        <w:rPr>
          <w:rFonts w:ascii="Times New Roman" w:hAnsi="Times New Roman" w:cs="Times New Roman"/>
          <w:b/>
          <w:bCs/>
          <w:highlight w:val="yellow"/>
        </w:rPr>
      </w:pPr>
      <w:bookmarkStart w:id="4" w:name="_Toc138656421"/>
      <w:bookmarkStart w:id="5" w:name="_Toc140088126"/>
      <w:bookmarkStart w:id="6" w:name="_Ref132000512"/>
      <w:r>
        <w:rPr>
          <w:rFonts w:ascii="Times New Roman" w:hAnsi="Times New Roman" w:cs="Times New Roman"/>
          <w:b/>
          <w:bCs/>
          <w:highlight w:val="yellow"/>
        </w:rPr>
        <w:t xml:space="preserve"> </w:t>
      </w:r>
    </w:p>
    <w:p w14:paraId="1882095A" w14:textId="77777777" w:rsidR="00D77AE1" w:rsidRDefault="00D77AE1" w:rsidP="00D77AE1">
      <w:pPr>
        <w:rPr>
          <w:rFonts w:ascii="Times New Roman" w:hAnsi="Times New Roman" w:cs="Times New Roman"/>
          <w:b/>
          <w:bCs/>
          <w:highlight w:val="yellow"/>
        </w:rPr>
      </w:pPr>
    </w:p>
    <w:p w14:paraId="4FAD8DD2" w14:textId="77777777" w:rsidR="00D77AE1" w:rsidRDefault="00D77AE1" w:rsidP="00D77AE1">
      <w:pPr>
        <w:rPr>
          <w:rFonts w:ascii="Times New Roman" w:hAnsi="Times New Roman" w:cs="Times New Roman"/>
          <w:b/>
          <w:bCs/>
          <w:sz w:val="24"/>
          <w:szCs w:val="24"/>
          <w:highlight w:val="yellow"/>
        </w:rPr>
      </w:pPr>
    </w:p>
    <w:p w14:paraId="5026A01B" w14:textId="77777777" w:rsidR="00C41BE6" w:rsidRDefault="003568A7">
      <w:pPr>
        <w:pStyle w:val="Caption"/>
        <w:spacing w:after="0"/>
        <w:rPr>
          <w:szCs w:val="24"/>
        </w:rPr>
      </w:pPr>
      <w:r>
        <w:rPr>
          <w:szCs w:val="24"/>
        </w:rPr>
        <w:t xml:space="preserve">Table </w:t>
      </w:r>
      <w:r>
        <w:rPr>
          <w:szCs w:val="24"/>
        </w:rPr>
        <w:fldChar w:fldCharType="begin"/>
      </w:r>
      <w:r>
        <w:rPr>
          <w:szCs w:val="24"/>
        </w:rPr>
        <w:instrText xml:space="preserve"> SEQ Table \* ARABIC </w:instrText>
      </w:r>
      <w:r>
        <w:rPr>
          <w:szCs w:val="24"/>
        </w:rPr>
        <w:fldChar w:fldCharType="separate"/>
      </w:r>
      <w:r w:rsidR="00DA6F31">
        <w:rPr>
          <w:noProof/>
          <w:szCs w:val="24"/>
        </w:rPr>
        <w:t>2</w:t>
      </w:r>
      <w:r>
        <w:rPr>
          <w:szCs w:val="24"/>
        </w:rPr>
        <w:fldChar w:fldCharType="end"/>
      </w:r>
      <w:r>
        <w:rPr>
          <w:rFonts w:hint="cs"/>
          <w:szCs w:val="24"/>
          <w:rtl/>
        </w:rPr>
        <w:t>:</w:t>
      </w:r>
      <w:r>
        <w:rPr>
          <w:szCs w:val="24"/>
        </w:rPr>
        <w:t xml:space="preserve"> Comparison between the studied groups as regard laboratory findings</w:t>
      </w:r>
    </w:p>
    <w:tbl>
      <w:tblPr>
        <w:tblStyle w:val="GridTable6Colorful11"/>
        <w:tblW w:w="4918" w:type="pct"/>
        <w:tblLook w:val="04A0" w:firstRow="1" w:lastRow="0" w:firstColumn="1" w:lastColumn="0" w:noHBand="0" w:noVBand="1"/>
      </w:tblPr>
      <w:tblGrid>
        <w:gridCol w:w="2830"/>
        <w:gridCol w:w="1560"/>
        <w:gridCol w:w="1609"/>
        <w:gridCol w:w="1509"/>
        <w:gridCol w:w="980"/>
      </w:tblGrid>
      <w:tr w:rsidR="00C41BE6" w14:paraId="272C7638" w14:textId="77777777" w:rsidTr="00C41B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Merge w:val="restart"/>
            <w:vAlign w:val="center"/>
          </w:tcPr>
          <w:bookmarkEnd w:id="4"/>
          <w:bookmarkEnd w:id="5"/>
          <w:p w14:paraId="74D91E72" w14:textId="77777777" w:rsidR="00C41BE6" w:rsidRDefault="003568A7">
            <w:pPr>
              <w:jc w:val="center"/>
              <w:rPr>
                <w:rFonts w:ascii="Times New Roman" w:hAnsi="Times New Roman" w:cs="Times New Roman"/>
              </w:rPr>
            </w:pPr>
            <w:r>
              <w:rPr>
                <w:rFonts w:ascii="Times New Roman" w:hAnsi="Times New Roman" w:cs="Times New Roman"/>
              </w:rPr>
              <w:t>Variables</w:t>
            </w:r>
          </w:p>
        </w:tc>
        <w:tc>
          <w:tcPr>
            <w:tcW w:w="919" w:type="pct"/>
            <w:vAlign w:val="center"/>
          </w:tcPr>
          <w:p w14:paraId="4871F82B"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Cirrhotic without HCC</w:t>
            </w:r>
          </w:p>
          <w:p w14:paraId="574A7418"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 = 40</w:t>
            </w:r>
          </w:p>
        </w:tc>
        <w:tc>
          <w:tcPr>
            <w:tcW w:w="948" w:type="pct"/>
            <w:vAlign w:val="center"/>
          </w:tcPr>
          <w:p w14:paraId="5E549AD4"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Cirrhotic with HCC</w:t>
            </w:r>
          </w:p>
          <w:p w14:paraId="6EC4963F"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 = 40</w:t>
            </w:r>
          </w:p>
        </w:tc>
        <w:tc>
          <w:tcPr>
            <w:tcW w:w="889" w:type="pct"/>
            <w:vMerge w:val="restart"/>
            <w:vAlign w:val="center"/>
          </w:tcPr>
          <w:p w14:paraId="06C4E9EC"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Test</w:t>
            </w:r>
          </w:p>
        </w:tc>
        <w:tc>
          <w:tcPr>
            <w:tcW w:w="577" w:type="pct"/>
            <w:vMerge w:val="restart"/>
            <w:vAlign w:val="center"/>
          </w:tcPr>
          <w:p w14:paraId="4B4EC01A"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C41BE6" w14:paraId="46B4F3AF"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Merge/>
            <w:vAlign w:val="center"/>
          </w:tcPr>
          <w:p w14:paraId="6FC014D6" w14:textId="77777777" w:rsidR="00C41BE6" w:rsidRDefault="00C41BE6">
            <w:pPr>
              <w:jc w:val="center"/>
              <w:rPr>
                <w:rFonts w:ascii="Times New Roman" w:hAnsi="Times New Roman" w:cs="Times New Roman"/>
              </w:rPr>
            </w:pPr>
          </w:p>
        </w:tc>
        <w:tc>
          <w:tcPr>
            <w:tcW w:w="919" w:type="pct"/>
            <w:vAlign w:val="center"/>
          </w:tcPr>
          <w:p w14:paraId="36EC556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Mean ± SD</w:t>
            </w:r>
          </w:p>
        </w:tc>
        <w:tc>
          <w:tcPr>
            <w:tcW w:w="948" w:type="pct"/>
            <w:vAlign w:val="center"/>
          </w:tcPr>
          <w:p w14:paraId="2395D77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Mean ± SD</w:t>
            </w:r>
          </w:p>
        </w:tc>
        <w:tc>
          <w:tcPr>
            <w:tcW w:w="889" w:type="pct"/>
            <w:vMerge/>
            <w:vAlign w:val="center"/>
          </w:tcPr>
          <w:p w14:paraId="4678CCA6"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77" w:type="pct"/>
            <w:vMerge/>
            <w:vAlign w:val="center"/>
          </w:tcPr>
          <w:p w14:paraId="234FC7E9" w14:textId="77777777" w:rsidR="00C41BE6" w:rsidRDefault="00C41B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BE6" w14:paraId="2C6FD20E"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26F569B3" w14:textId="77777777" w:rsidR="00C41BE6" w:rsidRDefault="003568A7">
            <w:pPr>
              <w:jc w:val="center"/>
              <w:rPr>
                <w:rFonts w:ascii="Times New Roman" w:hAnsi="Times New Roman" w:cs="Times New Roman"/>
              </w:rPr>
            </w:pPr>
            <w:r>
              <w:rPr>
                <w:rFonts w:ascii="Times New Roman" w:hAnsi="Times New Roman" w:cs="Times New Roman"/>
              </w:rPr>
              <w:t>Hb (g/dL)</w:t>
            </w:r>
          </w:p>
        </w:tc>
        <w:tc>
          <w:tcPr>
            <w:tcW w:w="919" w:type="pct"/>
            <w:vAlign w:val="center"/>
          </w:tcPr>
          <w:p w14:paraId="2FE4CBCC"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8.42 ± 1.45</w:t>
            </w:r>
          </w:p>
        </w:tc>
        <w:tc>
          <w:tcPr>
            <w:tcW w:w="948" w:type="pct"/>
            <w:vAlign w:val="center"/>
          </w:tcPr>
          <w:p w14:paraId="776B2DC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8.14 ± 1.97</w:t>
            </w:r>
          </w:p>
        </w:tc>
        <w:tc>
          <w:tcPr>
            <w:tcW w:w="889" w:type="pct"/>
            <w:vAlign w:val="center"/>
          </w:tcPr>
          <w:p w14:paraId="65C8B90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 0.717</w:t>
            </w:r>
          </w:p>
        </w:tc>
        <w:tc>
          <w:tcPr>
            <w:tcW w:w="577" w:type="pct"/>
            <w:vAlign w:val="center"/>
          </w:tcPr>
          <w:p w14:paraId="606F648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0.476</w:t>
            </w:r>
          </w:p>
        </w:tc>
      </w:tr>
      <w:tr w:rsidR="00C41BE6" w14:paraId="1B43EF65"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8DA1C1B" w14:textId="77777777" w:rsidR="00C41BE6" w:rsidRDefault="003568A7">
            <w:pPr>
              <w:jc w:val="center"/>
              <w:rPr>
                <w:rFonts w:ascii="Times New Roman" w:hAnsi="Times New Roman" w:cs="Times New Roman"/>
              </w:rPr>
            </w:pPr>
            <w:r>
              <w:rPr>
                <w:rFonts w:ascii="Times New Roman" w:hAnsi="Times New Roman" w:cs="Times New Roman"/>
              </w:rPr>
              <w:t xml:space="preserve">WBCs </w:t>
            </w:r>
            <w:bookmarkStart w:id="7" w:name="_Hlk199778907"/>
            <w:r>
              <w:rPr>
                <w:rFonts w:ascii="Times New Roman" w:hAnsi="Times New Roman" w:cs="Times New Roman"/>
              </w:rPr>
              <w:t>(X10</w:t>
            </w:r>
            <w:r>
              <w:rPr>
                <w:rFonts w:ascii="Times New Roman" w:hAnsi="Times New Roman" w:cs="Times New Roman"/>
                <w:vertAlign w:val="superscript"/>
              </w:rPr>
              <w:t>9</w:t>
            </w:r>
            <w:r>
              <w:rPr>
                <w:rFonts w:ascii="Times New Roman" w:hAnsi="Times New Roman" w:cs="Times New Roman"/>
              </w:rPr>
              <w:t>/L)</w:t>
            </w:r>
            <w:bookmarkEnd w:id="7"/>
          </w:p>
        </w:tc>
        <w:tc>
          <w:tcPr>
            <w:tcW w:w="919" w:type="pct"/>
            <w:vAlign w:val="center"/>
          </w:tcPr>
          <w:p w14:paraId="42751A6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8.19 ± 3.93</w:t>
            </w:r>
          </w:p>
        </w:tc>
        <w:tc>
          <w:tcPr>
            <w:tcW w:w="948" w:type="pct"/>
            <w:vAlign w:val="center"/>
          </w:tcPr>
          <w:p w14:paraId="21832FD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7.91 ± 3.92</w:t>
            </w:r>
          </w:p>
        </w:tc>
        <w:tc>
          <w:tcPr>
            <w:tcW w:w="889" w:type="pct"/>
            <w:vAlign w:val="center"/>
          </w:tcPr>
          <w:p w14:paraId="40CF5B6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 748.0</w:t>
            </w:r>
          </w:p>
        </w:tc>
        <w:tc>
          <w:tcPr>
            <w:tcW w:w="577" w:type="pct"/>
            <w:vAlign w:val="center"/>
          </w:tcPr>
          <w:p w14:paraId="6DF2EB9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0.616</w:t>
            </w:r>
          </w:p>
        </w:tc>
      </w:tr>
      <w:tr w:rsidR="00C41BE6" w14:paraId="3BB63188"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843C7BE" w14:textId="77777777" w:rsidR="00C41BE6" w:rsidRDefault="003568A7">
            <w:pPr>
              <w:jc w:val="center"/>
              <w:rPr>
                <w:rFonts w:ascii="Times New Roman" w:hAnsi="Times New Roman" w:cs="Times New Roman"/>
              </w:rPr>
            </w:pPr>
            <w:r>
              <w:rPr>
                <w:rFonts w:ascii="Times New Roman" w:hAnsi="Times New Roman" w:cs="Times New Roman"/>
              </w:rPr>
              <w:t>Platelets (X10</w:t>
            </w:r>
            <w:r>
              <w:rPr>
                <w:rFonts w:ascii="Times New Roman" w:hAnsi="Times New Roman" w:cs="Times New Roman"/>
                <w:vertAlign w:val="superscript"/>
              </w:rPr>
              <w:t>9</w:t>
            </w:r>
            <w:r>
              <w:rPr>
                <w:rFonts w:ascii="Times New Roman" w:hAnsi="Times New Roman" w:cs="Times New Roman"/>
              </w:rPr>
              <w:t>/L)</w:t>
            </w:r>
          </w:p>
        </w:tc>
        <w:tc>
          <w:tcPr>
            <w:tcW w:w="919" w:type="pct"/>
            <w:vAlign w:val="center"/>
          </w:tcPr>
          <w:p w14:paraId="7B52738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90.08 ± 29.91</w:t>
            </w:r>
          </w:p>
        </w:tc>
        <w:tc>
          <w:tcPr>
            <w:tcW w:w="948" w:type="pct"/>
            <w:vAlign w:val="center"/>
          </w:tcPr>
          <w:p w14:paraId="2526E20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92.40 ± 52.55</w:t>
            </w:r>
          </w:p>
        </w:tc>
        <w:tc>
          <w:tcPr>
            <w:tcW w:w="889" w:type="pct"/>
            <w:vAlign w:val="center"/>
          </w:tcPr>
          <w:p w14:paraId="5FB9F43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 641.5</w:t>
            </w:r>
          </w:p>
        </w:tc>
        <w:tc>
          <w:tcPr>
            <w:tcW w:w="577" w:type="pct"/>
            <w:vAlign w:val="center"/>
          </w:tcPr>
          <w:p w14:paraId="7BDBD63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0.127</w:t>
            </w:r>
          </w:p>
        </w:tc>
      </w:tr>
      <w:tr w:rsidR="00C41BE6" w14:paraId="700689B6"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7970CBD" w14:textId="77777777" w:rsidR="00C41BE6" w:rsidRDefault="003568A7">
            <w:pPr>
              <w:jc w:val="center"/>
              <w:rPr>
                <w:rFonts w:ascii="Times New Roman" w:hAnsi="Times New Roman" w:cs="Times New Roman"/>
              </w:rPr>
            </w:pPr>
            <w:r>
              <w:rPr>
                <w:rFonts w:ascii="Times New Roman" w:hAnsi="Times New Roman" w:cs="Times New Roman"/>
              </w:rPr>
              <w:t>FBS (mg/dL)</w:t>
            </w:r>
          </w:p>
        </w:tc>
        <w:tc>
          <w:tcPr>
            <w:tcW w:w="919" w:type="pct"/>
            <w:vAlign w:val="center"/>
          </w:tcPr>
          <w:p w14:paraId="58D0A2C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101.5 ± 23.72</w:t>
            </w:r>
          </w:p>
        </w:tc>
        <w:tc>
          <w:tcPr>
            <w:tcW w:w="948" w:type="pct"/>
            <w:vAlign w:val="center"/>
          </w:tcPr>
          <w:p w14:paraId="57025AC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99.48 ± 31.46</w:t>
            </w:r>
          </w:p>
        </w:tc>
        <w:tc>
          <w:tcPr>
            <w:tcW w:w="889" w:type="pct"/>
            <w:vAlign w:val="center"/>
          </w:tcPr>
          <w:p w14:paraId="1061690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 636.5</w:t>
            </w:r>
          </w:p>
        </w:tc>
        <w:tc>
          <w:tcPr>
            <w:tcW w:w="577" w:type="pct"/>
            <w:vAlign w:val="center"/>
          </w:tcPr>
          <w:p w14:paraId="0405DD4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0.115</w:t>
            </w:r>
          </w:p>
        </w:tc>
      </w:tr>
      <w:tr w:rsidR="00C41BE6" w14:paraId="0DC4A7DD"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45DE0FAA" w14:textId="77777777" w:rsidR="00C41BE6" w:rsidRDefault="003568A7">
            <w:pPr>
              <w:jc w:val="center"/>
              <w:rPr>
                <w:rFonts w:ascii="Times New Roman" w:hAnsi="Times New Roman" w:cs="Times New Roman"/>
              </w:rPr>
            </w:pPr>
            <w:r>
              <w:rPr>
                <w:rFonts w:ascii="Times New Roman" w:hAnsi="Times New Roman" w:cs="Times New Roman"/>
              </w:rPr>
              <w:t>Creatinine (mg/dL)</w:t>
            </w:r>
          </w:p>
        </w:tc>
        <w:tc>
          <w:tcPr>
            <w:tcW w:w="919" w:type="pct"/>
            <w:vAlign w:val="center"/>
          </w:tcPr>
          <w:p w14:paraId="730BD30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0.79 ± 0.17</w:t>
            </w:r>
          </w:p>
        </w:tc>
        <w:tc>
          <w:tcPr>
            <w:tcW w:w="948" w:type="pct"/>
            <w:vAlign w:val="center"/>
          </w:tcPr>
          <w:p w14:paraId="27ABD7C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0.81 ± 0.13</w:t>
            </w:r>
          </w:p>
        </w:tc>
        <w:tc>
          <w:tcPr>
            <w:tcW w:w="889" w:type="pct"/>
            <w:vAlign w:val="center"/>
          </w:tcPr>
          <w:p w14:paraId="068219D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 822.5</w:t>
            </w:r>
          </w:p>
        </w:tc>
        <w:tc>
          <w:tcPr>
            <w:tcW w:w="577" w:type="pct"/>
            <w:vAlign w:val="center"/>
          </w:tcPr>
          <w:p w14:paraId="4826A63F"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0.823</w:t>
            </w:r>
          </w:p>
        </w:tc>
      </w:tr>
      <w:tr w:rsidR="00C41BE6" w14:paraId="6F1EB19B"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4C688F1E" w14:textId="77777777" w:rsidR="00C41BE6" w:rsidRDefault="003568A7">
            <w:pPr>
              <w:jc w:val="center"/>
              <w:rPr>
                <w:rFonts w:ascii="Times New Roman" w:hAnsi="Times New Roman" w:cs="Times New Roman"/>
              </w:rPr>
            </w:pPr>
            <w:r>
              <w:rPr>
                <w:rFonts w:ascii="Times New Roman" w:hAnsi="Times New Roman" w:cs="Times New Roman"/>
              </w:rPr>
              <w:t>Urea (mg/dL)</w:t>
            </w:r>
          </w:p>
        </w:tc>
        <w:tc>
          <w:tcPr>
            <w:tcW w:w="919" w:type="pct"/>
            <w:vAlign w:val="center"/>
          </w:tcPr>
          <w:p w14:paraId="624756D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29.18 ± 13.73</w:t>
            </w:r>
          </w:p>
        </w:tc>
        <w:tc>
          <w:tcPr>
            <w:tcW w:w="948" w:type="pct"/>
            <w:vAlign w:val="center"/>
          </w:tcPr>
          <w:p w14:paraId="65DAD031"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34.23 ± 15.57</w:t>
            </w:r>
          </w:p>
        </w:tc>
        <w:tc>
          <w:tcPr>
            <w:tcW w:w="889" w:type="pct"/>
            <w:vAlign w:val="center"/>
          </w:tcPr>
          <w:p w14:paraId="1671C51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 986.5</w:t>
            </w:r>
          </w:p>
        </w:tc>
        <w:tc>
          <w:tcPr>
            <w:tcW w:w="577" w:type="pct"/>
            <w:vAlign w:val="center"/>
          </w:tcPr>
          <w:p w14:paraId="25A2BC4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0.072</w:t>
            </w:r>
          </w:p>
        </w:tc>
      </w:tr>
      <w:tr w:rsidR="00C41BE6" w14:paraId="22F1C5E0"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07908D22" w14:textId="77777777" w:rsidR="00C41BE6" w:rsidRDefault="003568A7">
            <w:pPr>
              <w:jc w:val="center"/>
              <w:rPr>
                <w:rFonts w:ascii="Times New Roman" w:hAnsi="Times New Roman" w:cs="Times New Roman"/>
              </w:rPr>
            </w:pPr>
            <w:r>
              <w:rPr>
                <w:rFonts w:ascii="Times New Roman" w:hAnsi="Times New Roman" w:cs="Times New Roman"/>
              </w:rPr>
              <w:t xml:space="preserve">ESR </w:t>
            </w:r>
            <w:bookmarkStart w:id="8" w:name="_Hlk199779015"/>
            <w:r>
              <w:rPr>
                <w:rFonts w:ascii="Times New Roman" w:hAnsi="Times New Roman" w:cs="Times New Roman"/>
              </w:rPr>
              <w:t>(mm/hr)</w:t>
            </w:r>
            <w:bookmarkEnd w:id="8"/>
          </w:p>
        </w:tc>
        <w:tc>
          <w:tcPr>
            <w:tcW w:w="919" w:type="pct"/>
            <w:vAlign w:val="center"/>
          </w:tcPr>
          <w:p w14:paraId="4F8314B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22.63 ± 14.37</w:t>
            </w:r>
          </w:p>
        </w:tc>
        <w:tc>
          <w:tcPr>
            <w:tcW w:w="948" w:type="pct"/>
            <w:vAlign w:val="center"/>
          </w:tcPr>
          <w:p w14:paraId="72BE6F4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80.85 ± 26.80</w:t>
            </w:r>
          </w:p>
        </w:tc>
        <w:tc>
          <w:tcPr>
            <w:tcW w:w="889" w:type="pct"/>
            <w:vAlign w:val="center"/>
          </w:tcPr>
          <w:p w14:paraId="0EBF8C2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 1536.5</w:t>
            </w:r>
          </w:p>
        </w:tc>
        <w:tc>
          <w:tcPr>
            <w:tcW w:w="577" w:type="pct"/>
            <w:vAlign w:val="center"/>
          </w:tcPr>
          <w:p w14:paraId="65705EC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&lt;0.001*</w:t>
            </w:r>
          </w:p>
        </w:tc>
      </w:tr>
      <w:tr w:rsidR="00C41BE6" w14:paraId="026AE405"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3040EF54" w14:textId="77777777" w:rsidR="00C41BE6" w:rsidRDefault="003568A7">
            <w:pPr>
              <w:jc w:val="center"/>
              <w:rPr>
                <w:rFonts w:ascii="Times New Roman" w:hAnsi="Times New Roman" w:cs="Times New Roman"/>
              </w:rPr>
            </w:pPr>
            <w:r>
              <w:rPr>
                <w:rFonts w:ascii="Times New Roman" w:hAnsi="Times New Roman" w:cs="Times New Roman"/>
              </w:rPr>
              <w:t>AFP (ng/mL)</w:t>
            </w:r>
          </w:p>
        </w:tc>
        <w:tc>
          <w:tcPr>
            <w:tcW w:w="919" w:type="pct"/>
            <w:vAlign w:val="center"/>
          </w:tcPr>
          <w:p w14:paraId="462A31E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16.19 ± 17.72</w:t>
            </w:r>
          </w:p>
        </w:tc>
        <w:tc>
          <w:tcPr>
            <w:tcW w:w="948" w:type="pct"/>
            <w:vAlign w:val="center"/>
          </w:tcPr>
          <w:p w14:paraId="5BC909D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319.3 ± 385.9</w:t>
            </w:r>
          </w:p>
        </w:tc>
        <w:tc>
          <w:tcPr>
            <w:tcW w:w="889" w:type="pct"/>
            <w:vAlign w:val="center"/>
          </w:tcPr>
          <w:p w14:paraId="4A8C3DC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U=1425.0*</w:t>
            </w:r>
          </w:p>
        </w:tc>
        <w:tc>
          <w:tcPr>
            <w:tcW w:w="577" w:type="pct"/>
            <w:vAlign w:val="center"/>
          </w:tcPr>
          <w:p w14:paraId="012BA52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&lt;0.001*</w:t>
            </w:r>
          </w:p>
        </w:tc>
      </w:tr>
      <w:tr w:rsidR="00C41BE6" w14:paraId="65C766B8"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9BA3F0D" w14:textId="77777777" w:rsidR="00C41BE6" w:rsidRDefault="003568A7">
            <w:pPr>
              <w:jc w:val="center"/>
              <w:rPr>
                <w:rFonts w:ascii="Times New Roman" w:hAnsi="Times New Roman" w:cs="Times New Roman"/>
              </w:rPr>
            </w:pPr>
            <w:r>
              <w:rPr>
                <w:rFonts w:ascii="Times New Roman" w:hAnsi="Times New Roman" w:cs="Times New Roman"/>
              </w:rPr>
              <w:t>ALT (U/L)</w:t>
            </w:r>
          </w:p>
        </w:tc>
        <w:tc>
          <w:tcPr>
            <w:tcW w:w="919" w:type="pct"/>
            <w:vAlign w:val="center"/>
          </w:tcPr>
          <w:p w14:paraId="5911B3A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28.40 ± 15.24</w:t>
            </w:r>
          </w:p>
        </w:tc>
        <w:tc>
          <w:tcPr>
            <w:tcW w:w="948" w:type="pct"/>
            <w:vAlign w:val="center"/>
          </w:tcPr>
          <w:p w14:paraId="17258AF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55.10 ± 38.88</w:t>
            </w:r>
          </w:p>
        </w:tc>
        <w:tc>
          <w:tcPr>
            <w:tcW w:w="889" w:type="pct"/>
            <w:vAlign w:val="center"/>
          </w:tcPr>
          <w:p w14:paraId="1651379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U=1316.5*</w:t>
            </w:r>
          </w:p>
        </w:tc>
        <w:tc>
          <w:tcPr>
            <w:tcW w:w="577" w:type="pct"/>
            <w:vAlign w:val="center"/>
          </w:tcPr>
          <w:p w14:paraId="44CF74F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&lt;0.001*</w:t>
            </w:r>
          </w:p>
        </w:tc>
      </w:tr>
      <w:tr w:rsidR="00C41BE6" w14:paraId="05D02006"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2DBCA11F" w14:textId="77777777" w:rsidR="00C41BE6" w:rsidRDefault="003568A7">
            <w:pPr>
              <w:jc w:val="center"/>
              <w:rPr>
                <w:rFonts w:ascii="Times New Roman" w:hAnsi="Times New Roman" w:cs="Times New Roman"/>
              </w:rPr>
            </w:pPr>
            <w:r>
              <w:rPr>
                <w:rFonts w:ascii="Times New Roman" w:hAnsi="Times New Roman" w:cs="Times New Roman"/>
              </w:rPr>
              <w:t>AST (U/L)</w:t>
            </w:r>
          </w:p>
        </w:tc>
        <w:tc>
          <w:tcPr>
            <w:tcW w:w="919" w:type="pct"/>
            <w:vAlign w:val="center"/>
          </w:tcPr>
          <w:p w14:paraId="387DFAE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28.83 ± 16.62</w:t>
            </w:r>
          </w:p>
        </w:tc>
        <w:tc>
          <w:tcPr>
            <w:tcW w:w="948" w:type="pct"/>
            <w:vAlign w:val="center"/>
          </w:tcPr>
          <w:p w14:paraId="540F452F"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57.78 ± 28.92</w:t>
            </w:r>
          </w:p>
        </w:tc>
        <w:tc>
          <w:tcPr>
            <w:tcW w:w="889" w:type="pct"/>
            <w:vAlign w:val="center"/>
          </w:tcPr>
          <w:p w14:paraId="68DE110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U=1319.0*</w:t>
            </w:r>
          </w:p>
        </w:tc>
        <w:tc>
          <w:tcPr>
            <w:tcW w:w="577" w:type="pct"/>
            <w:vAlign w:val="center"/>
          </w:tcPr>
          <w:p w14:paraId="2A4074D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&lt;0.001*</w:t>
            </w:r>
          </w:p>
        </w:tc>
      </w:tr>
      <w:tr w:rsidR="00C41BE6" w14:paraId="70D6CF66"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C694293" w14:textId="77777777" w:rsidR="00C41BE6" w:rsidRDefault="003568A7">
            <w:pPr>
              <w:jc w:val="center"/>
              <w:rPr>
                <w:rFonts w:ascii="Times New Roman" w:hAnsi="Times New Roman" w:cs="Times New Roman"/>
              </w:rPr>
            </w:pPr>
            <w:r>
              <w:rPr>
                <w:rFonts w:ascii="Times New Roman" w:hAnsi="Times New Roman" w:cs="Times New Roman"/>
              </w:rPr>
              <w:t>Total bilirubin (mg/dL)</w:t>
            </w:r>
          </w:p>
        </w:tc>
        <w:tc>
          <w:tcPr>
            <w:tcW w:w="919" w:type="pct"/>
            <w:vAlign w:val="center"/>
          </w:tcPr>
          <w:p w14:paraId="0D2BC45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1.46 ± 0.78</w:t>
            </w:r>
          </w:p>
        </w:tc>
        <w:tc>
          <w:tcPr>
            <w:tcW w:w="948" w:type="pct"/>
            <w:vAlign w:val="center"/>
          </w:tcPr>
          <w:p w14:paraId="631712C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1.28 ± 0.69</w:t>
            </w:r>
          </w:p>
        </w:tc>
        <w:tc>
          <w:tcPr>
            <w:tcW w:w="889" w:type="pct"/>
            <w:vAlign w:val="center"/>
          </w:tcPr>
          <w:p w14:paraId="0737E40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U=615.0</w:t>
            </w:r>
          </w:p>
        </w:tc>
        <w:tc>
          <w:tcPr>
            <w:tcW w:w="577" w:type="pct"/>
            <w:vAlign w:val="center"/>
          </w:tcPr>
          <w:p w14:paraId="063315C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0.073</w:t>
            </w:r>
          </w:p>
        </w:tc>
      </w:tr>
      <w:tr w:rsidR="00C41BE6" w14:paraId="0B77FD98"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7BDF7C07" w14:textId="77777777" w:rsidR="00C41BE6" w:rsidRDefault="003568A7">
            <w:pPr>
              <w:jc w:val="center"/>
              <w:rPr>
                <w:rFonts w:ascii="Times New Roman" w:hAnsi="Times New Roman" w:cs="Times New Roman"/>
              </w:rPr>
            </w:pPr>
            <w:r>
              <w:rPr>
                <w:rFonts w:ascii="Times New Roman" w:hAnsi="Times New Roman" w:cs="Times New Roman"/>
              </w:rPr>
              <w:t>Direct bilirubin (mg/dL)</w:t>
            </w:r>
          </w:p>
        </w:tc>
        <w:tc>
          <w:tcPr>
            <w:tcW w:w="919" w:type="pct"/>
            <w:vAlign w:val="center"/>
          </w:tcPr>
          <w:p w14:paraId="47A6220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0.59 ± 0.54</w:t>
            </w:r>
          </w:p>
        </w:tc>
        <w:tc>
          <w:tcPr>
            <w:tcW w:w="948" w:type="pct"/>
            <w:vAlign w:val="center"/>
          </w:tcPr>
          <w:p w14:paraId="4B74991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0.47 ± 0.45</w:t>
            </w:r>
          </w:p>
        </w:tc>
        <w:tc>
          <w:tcPr>
            <w:tcW w:w="889" w:type="pct"/>
            <w:vAlign w:val="center"/>
          </w:tcPr>
          <w:p w14:paraId="5322282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U=631.5</w:t>
            </w:r>
          </w:p>
        </w:tc>
        <w:tc>
          <w:tcPr>
            <w:tcW w:w="577" w:type="pct"/>
            <w:vAlign w:val="center"/>
          </w:tcPr>
          <w:p w14:paraId="606B325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0.093</w:t>
            </w:r>
          </w:p>
        </w:tc>
      </w:tr>
      <w:tr w:rsidR="00C41BE6" w14:paraId="4463A77D"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5486199" w14:textId="77777777" w:rsidR="00C41BE6" w:rsidRDefault="003568A7">
            <w:pPr>
              <w:jc w:val="center"/>
              <w:rPr>
                <w:rFonts w:ascii="Times New Roman" w:hAnsi="Times New Roman" w:cs="Times New Roman"/>
              </w:rPr>
            </w:pPr>
            <w:r>
              <w:rPr>
                <w:rFonts w:ascii="Times New Roman" w:hAnsi="Times New Roman" w:cs="Times New Roman"/>
              </w:rPr>
              <w:t>Albumin (g/dL)</w:t>
            </w:r>
          </w:p>
        </w:tc>
        <w:tc>
          <w:tcPr>
            <w:tcW w:w="919" w:type="pct"/>
            <w:vAlign w:val="center"/>
          </w:tcPr>
          <w:p w14:paraId="14D4F8F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2.73 ± 0.40</w:t>
            </w:r>
          </w:p>
        </w:tc>
        <w:tc>
          <w:tcPr>
            <w:tcW w:w="948" w:type="pct"/>
            <w:vAlign w:val="center"/>
          </w:tcPr>
          <w:p w14:paraId="495FA8B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2.66 ± 0.34</w:t>
            </w:r>
          </w:p>
        </w:tc>
        <w:tc>
          <w:tcPr>
            <w:tcW w:w="889" w:type="pct"/>
            <w:vAlign w:val="center"/>
          </w:tcPr>
          <w:p w14:paraId="75D7786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t=0.879</w:t>
            </w:r>
          </w:p>
        </w:tc>
        <w:tc>
          <w:tcPr>
            <w:tcW w:w="577" w:type="pct"/>
            <w:vAlign w:val="center"/>
          </w:tcPr>
          <w:p w14:paraId="6632C2AF"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0.382</w:t>
            </w:r>
          </w:p>
        </w:tc>
      </w:tr>
      <w:tr w:rsidR="00C41BE6" w14:paraId="002BA5A6"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3E1D402D" w14:textId="77777777" w:rsidR="00C41BE6" w:rsidRDefault="003568A7">
            <w:pPr>
              <w:jc w:val="center"/>
              <w:rPr>
                <w:rFonts w:ascii="Times New Roman" w:hAnsi="Times New Roman" w:cs="Times New Roman"/>
              </w:rPr>
            </w:pPr>
            <w:r>
              <w:rPr>
                <w:rFonts w:ascii="Times New Roman" w:hAnsi="Times New Roman" w:cs="Times New Roman"/>
              </w:rPr>
              <w:t>INR</w:t>
            </w:r>
          </w:p>
        </w:tc>
        <w:tc>
          <w:tcPr>
            <w:tcW w:w="919" w:type="pct"/>
            <w:vAlign w:val="center"/>
          </w:tcPr>
          <w:p w14:paraId="0333C90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1.41 ± 0.38</w:t>
            </w:r>
          </w:p>
        </w:tc>
        <w:tc>
          <w:tcPr>
            <w:tcW w:w="948" w:type="pct"/>
            <w:vAlign w:val="center"/>
          </w:tcPr>
          <w:p w14:paraId="74B4D53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1.52 ± 0.36</w:t>
            </w:r>
          </w:p>
        </w:tc>
        <w:tc>
          <w:tcPr>
            <w:tcW w:w="889" w:type="pct"/>
            <w:vAlign w:val="center"/>
          </w:tcPr>
          <w:p w14:paraId="58652CA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U=959.0</w:t>
            </w:r>
          </w:p>
        </w:tc>
        <w:tc>
          <w:tcPr>
            <w:tcW w:w="577" w:type="pct"/>
            <w:vAlign w:val="center"/>
          </w:tcPr>
          <w:p w14:paraId="3C6EC29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0.123</w:t>
            </w:r>
          </w:p>
        </w:tc>
      </w:tr>
    </w:tbl>
    <w:p w14:paraId="257E8AC7" w14:textId="77777777" w:rsidR="00C41BE6" w:rsidRDefault="003568A7">
      <w:pPr>
        <w:pStyle w:val="F-note"/>
        <w:rPr>
          <w:i/>
          <w:iCs/>
          <w:noProof/>
          <w:sz w:val="18"/>
          <w:szCs w:val="22"/>
        </w:rPr>
      </w:pPr>
      <w:r>
        <w:rPr>
          <w:sz w:val="18"/>
          <w:szCs w:val="18"/>
        </w:rPr>
        <w:t xml:space="preserve">Data presents as Mean ± SD. WBCs: white blood cells, Hb: hemoglobin, ESR: erythrocyte sedimentation rate, AST: aspartate aminotransferase; ALT: alanine aminotransferase. INR: international normalized </w:t>
      </w:r>
      <w:proofErr w:type="spellStart"/>
      <w:r>
        <w:rPr>
          <w:sz w:val="18"/>
          <w:szCs w:val="18"/>
        </w:rPr>
        <w:t>ratuio</w:t>
      </w:r>
      <w:proofErr w:type="spellEnd"/>
      <w:r>
        <w:rPr>
          <w:sz w:val="18"/>
          <w:szCs w:val="18"/>
        </w:rPr>
        <w:t>, AFP: Alpha-Fetoprotein*: statistically significant as P value &lt;0.05</w:t>
      </w:r>
      <w:bookmarkEnd w:id="6"/>
      <w:r>
        <w:rPr>
          <w:sz w:val="18"/>
          <w:szCs w:val="18"/>
        </w:rPr>
        <w:t>.</w:t>
      </w:r>
      <w:r>
        <w:rPr>
          <w:i/>
          <w:iCs/>
          <w:noProof/>
          <w:sz w:val="18"/>
          <w:szCs w:val="22"/>
        </w:rPr>
        <w:t xml:space="preserve"> </w:t>
      </w:r>
    </w:p>
    <w:p w14:paraId="029EB3FD" w14:textId="77777777" w:rsidR="00C41BE6" w:rsidRDefault="003568A7">
      <w:pPr>
        <w:rPr>
          <w:rFonts w:ascii="Times New Roman" w:eastAsia="Times New Roman" w:hAnsi="Times New Roman" w:cs="Times New Roman"/>
          <w:b/>
          <w:bCs/>
          <w:i/>
          <w:iCs/>
          <w:noProof/>
          <w:sz w:val="24"/>
          <w:szCs w:val="24"/>
          <w:lang w:val="en-GB"/>
        </w:rPr>
      </w:pPr>
      <w:r>
        <w:rPr>
          <w:i/>
          <w:iCs/>
          <w:noProof/>
          <w:szCs w:val="24"/>
        </w:rPr>
        <w:br w:type="page"/>
      </w:r>
    </w:p>
    <w:p w14:paraId="1D6B9B8C" w14:textId="77777777" w:rsidR="00C41BE6" w:rsidRDefault="003568A7">
      <w:pPr>
        <w:pStyle w:val="Caption"/>
        <w:spacing w:after="0"/>
        <w:jc w:val="center"/>
      </w:pPr>
      <w:r>
        <w:rPr>
          <w:i/>
          <w:iCs/>
          <w:noProof/>
          <w:color w:val="auto"/>
          <w:szCs w:val="24"/>
          <w:lang w:val="en-US"/>
        </w:rPr>
        <w:lastRenderedPageBreak/>
        <w:drawing>
          <wp:inline distT="0" distB="0" distL="0" distR="0" wp14:anchorId="39A4DBA1" wp14:editId="048A7C85">
            <wp:extent cx="5187950" cy="3389630"/>
            <wp:effectExtent l="0" t="0" r="0" b="127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187950" cy="3389630"/>
                    </a:xfrm>
                    <a:prstGeom prst="rect">
                      <a:avLst/>
                    </a:prstGeom>
                  </pic:spPr>
                </pic:pic>
              </a:graphicData>
            </a:graphic>
          </wp:inline>
        </w:drawing>
      </w:r>
    </w:p>
    <w:p w14:paraId="443B0AE6" w14:textId="77777777" w:rsidR="00C41BE6" w:rsidRDefault="003568A7">
      <w:pPr>
        <w:pStyle w:val="Fig"/>
      </w:pPr>
      <w:r>
        <w:t xml:space="preserve">Figure </w:t>
      </w:r>
      <w:fldSimple w:instr=" SEQ Figure \* ARABIC ">
        <w:r w:rsidR="00DA6F31">
          <w:rPr>
            <w:noProof/>
          </w:rPr>
          <w:t>1</w:t>
        </w:r>
      </w:fldSimple>
      <w:r>
        <w:t>: Bar chart showing Child Pugh classification among the studied groups (cirrhosis with and without HCC)</w:t>
      </w:r>
    </w:p>
    <w:p w14:paraId="281DFD83" w14:textId="77777777" w:rsidR="001A1C67" w:rsidRDefault="001A1C67">
      <w:pPr>
        <w:pStyle w:val="Fig"/>
        <w:rPr>
          <w:b w:val="0"/>
          <w:bCs w:val="0"/>
        </w:rPr>
      </w:pPr>
    </w:p>
    <w:p w14:paraId="219349E8" w14:textId="77777777" w:rsidR="001A1C67" w:rsidRDefault="001A1C67" w:rsidP="001A1C67">
      <w:pPr>
        <w:pStyle w:val="Caption"/>
        <w:spacing w:after="0"/>
        <w:jc w:val="center"/>
        <w:rPr>
          <w:i/>
          <w:iCs/>
          <w:color w:val="auto"/>
          <w:szCs w:val="24"/>
        </w:rPr>
      </w:pPr>
      <w:r>
        <w:rPr>
          <w:noProof/>
          <w:lang w:val="en-US"/>
        </w:rPr>
        <w:drawing>
          <wp:inline distT="0" distB="0" distL="0" distR="0" wp14:anchorId="4FD7A34D" wp14:editId="1EA0A887">
            <wp:extent cx="2886922" cy="1963107"/>
            <wp:effectExtent l="0" t="0" r="8890" b="0"/>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9" cstate="print"/>
                    <a:srcRect/>
                    <a:stretch/>
                  </pic:blipFill>
                  <pic:spPr>
                    <a:xfrm>
                      <a:off x="0" y="0"/>
                      <a:ext cx="2886922" cy="1963107"/>
                    </a:xfrm>
                    <a:prstGeom prst="rect">
                      <a:avLst/>
                    </a:prstGeom>
                  </pic:spPr>
                </pic:pic>
              </a:graphicData>
            </a:graphic>
          </wp:inline>
        </w:drawing>
      </w:r>
    </w:p>
    <w:p w14:paraId="2A870F6A" w14:textId="77777777" w:rsidR="001A1C67" w:rsidRPr="001A1C67" w:rsidRDefault="00426EC3" w:rsidP="00426EC3">
      <w:pPr>
        <w:pStyle w:val="Caption"/>
        <w:rPr>
          <w:b w:val="0"/>
          <w:bCs w:val="0"/>
          <w:color w:val="auto"/>
          <w:sz w:val="28"/>
          <w:szCs w:val="28"/>
        </w:rPr>
      </w:pPr>
      <w:r>
        <w:rPr>
          <w:b w:val="0"/>
          <w:bCs w:val="0"/>
          <w:color w:val="auto"/>
          <w:sz w:val="28"/>
          <w:szCs w:val="28"/>
        </w:rPr>
        <w:t>Figure 2</w:t>
      </w:r>
      <w:r w:rsidR="001A1C67" w:rsidRPr="001A1C67">
        <w:rPr>
          <w:b w:val="0"/>
          <w:bCs w:val="0"/>
          <w:color w:val="auto"/>
          <w:sz w:val="28"/>
          <w:szCs w:val="28"/>
        </w:rPr>
        <w:t xml:space="preserve">: Pie </w:t>
      </w:r>
      <w:proofErr w:type="gramStart"/>
      <w:r w:rsidR="001A1C67" w:rsidRPr="001A1C67">
        <w:rPr>
          <w:b w:val="0"/>
          <w:bCs w:val="0"/>
          <w:color w:val="auto"/>
          <w:sz w:val="28"/>
          <w:szCs w:val="28"/>
        </w:rPr>
        <w:t>chart  showing</w:t>
      </w:r>
      <w:proofErr w:type="gramEnd"/>
      <w:r w:rsidR="001A1C67" w:rsidRPr="001A1C67">
        <w:rPr>
          <w:b w:val="0"/>
          <w:bCs w:val="0"/>
          <w:color w:val="auto"/>
          <w:sz w:val="28"/>
          <w:szCs w:val="28"/>
        </w:rPr>
        <w:t xml:space="preserve"> Barcelona staging among cirrhotic patients with HCC.</w:t>
      </w:r>
    </w:p>
    <w:p w14:paraId="1A672FF3" w14:textId="77777777" w:rsidR="001A1C67" w:rsidRDefault="001A1C67" w:rsidP="001A1C67">
      <w:pPr>
        <w:rPr>
          <w:rFonts w:ascii="Times New Roman" w:hAnsi="Times New Roman" w:cs="Times New Roman"/>
          <w:b/>
          <w:bCs/>
          <w:color w:val="FFFFFF"/>
          <w:sz w:val="32"/>
          <w:szCs w:val="32"/>
        </w:rPr>
      </w:pPr>
      <w:r>
        <w:rPr>
          <w:rFonts w:ascii="Times New Roman" w:hAnsi="Times New Roman" w:cs="Times New Roman"/>
          <w:b/>
          <w:bCs/>
          <w:i/>
          <w:iCs/>
          <w:color w:val="FFFFFF"/>
          <w:sz w:val="32"/>
          <w:szCs w:val="32"/>
        </w:rPr>
        <w:br w:type="page"/>
      </w:r>
    </w:p>
    <w:p w14:paraId="03A739F9" w14:textId="77777777" w:rsidR="00C41BE6" w:rsidRDefault="003568A7">
      <w:pPr>
        <w:pStyle w:val="Caption"/>
        <w:spacing w:after="0"/>
        <w:jc w:val="both"/>
      </w:pPr>
      <w:r>
        <w:lastRenderedPageBreak/>
        <w:t xml:space="preserve">Table </w:t>
      </w:r>
      <w:r>
        <w:fldChar w:fldCharType="begin"/>
      </w:r>
      <w:r>
        <w:instrText xml:space="preserve"> SEQ Table \* ARABIC </w:instrText>
      </w:r>
      <w:r>
        <w:fldChar w:fldCharType="separate"/>
      </w:r>
      <w:r w:rsidR="00DA6F31">
        <w:rPr>
          <w:noProof/>
        </w:rPr>
        <w:t>3</w:t>
      </w:r>
      <w:r>
        <w:fldChar w:fldCharType="end"/>
      </w:r>
      <w:r>
        <w:t>: Comparison between the studied groups regarding PDGFR-β serum level and APAC score</w:t>
      </w:r>
    </w:p>
    <w:tbl>
      <w:tblPr>
        <w:tblStyle w:val="GridTable6Colorful11"/>
        <w:tblW w:w="5000" w:type="pct"/>
        <w:tblLook w:val="04A0" w:firstRow="1" w:lastRow="0" w:firstColumn="1" w:lastColumn="0" w:noHBand="0" w:noVBand="1"/>
      </w:tblPr>
      <w:tblGrid>
        <w:gridCol w:w="2104"/>
        <w:gridCol w:w="2537"/>
        <w:gridCol w:w="2111"/>
        <w:gridCol w:w="931"/>
        <w:gridCol w:w="947"/>
      </w:tblGrid>
      <w:tr w:rsidR="00C41BE6" w14:paraId="520EAEEF" w14:textId="77777777" w:rsidTr="00C41B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8" w:type="pct"/>
            <w:vAlign w:val="center"/>
          </w:tcPr>
          <w:p w14:paraId="4167BDE1" w14:textId="77777777" w:rsidR="00C41BE6" w:rsidRDefault="003568A7">
            <w:pPr>
              <w:jc w:val="center"/>
              <w:rPr>
                <w:rFonts w:ascii="Times New Roman" w:hAnsi="Times New Roman" w:cs="Times New Roman"/>
              </w:rPr>
            </w:pPr>
            <w:r>
              <w:rPr>
                <w:rFonts w:ascii="Times New Roman" w:hAnsi="Times New Roman" w:cs="Times New Roman"/>
              </w:rPr>
              <w:t>Variables</w:t>
            </w:r>
          </w:p>
        </w:tc>
        <w:tc>
          <w:tcPr>
            <w:tcW w:w="1479" w:type="pct"/>
            <w:vAlign w:val="center"/>
          </w:tcPr>
          <w:p w14:paraId="43EC31F6"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Cirrhotic without HCC</w:t>
            </w:r>
          </w:p>
          <w:p w14:paraId="5745804F"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 = 40)</w:t>
            </w:r>
          </w:p>
        </w:tc>
        <w:tc>
          <w:tcPr>
            <w:tcW w:w="1232" w:type="pct"/>
            <w:vAlign w:val="center"/>
          </w:tcPr>
          <w:p w14:paraId="20583DA7"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Cirrhotic with HCC</w:t>
            </w:r>
          </w:p>
          <w:p w14:paraId="7441F92B"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 = 40)</w:t>
            </w:r>
          </w:p>
        </w:tc>
        <w:tc>
          <w:tcPr>
            <w:tcW w:w="512" w:type="pct"/>
            <w:vAlign w:val="center"/>
          </w:tcPr>
          <w:p w14:paraId="2200EE18"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Test</w:t>
            </w:r>
          </w:p>
        </w:tc>
        <w:tc>
          <w:tcPr>
            <w:tcW w:w="549" w:type="pct"/>
            <w:vAlign w:val="center"/>
          </w:tcPr>
          <w:p w14:paraId="18BAD1C8"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C41BE6" w14:paraId="1AEC0997" w14:textId="77777777" w:rsidTr="00C41B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8" w:type="pct"/>
            <w:vAlign w:val="center"/>
          </w:tcPr>
          <w:p w14:paraId="1859F964" w14:textId="77777777" w:rsidR="00C41BE6" w:rsidRDefault="003568A7">
            <w:pPr>
              <w:ind w:left="-18"/>
              <w:jc w:val="center"/>
              <w:rPr>
                <w:rFonts w:ascii="Times New Roman" w:hAnsi="Times New Roman" w:cs="Times New Roman"/>
              </w:rPr>
            </w:pPr>
            <w:r>
              <w:rPr>
                <w:rFonts w:ascii="Times New Roman" w:hAnsi="Times New Roman" w:cs="Times New Roman"/>
              </w:rPr>
              <w:t>PDGFR-β (pg/mL)</w:t>
            </w:r>
          </w:p>
        </w:tc>
        <w:tc>
          <w:tcPr>
            <w:tcW w:w="1479" w:type="pct"/>
            <w:vAlign w:val="center"/>
          </w:tcPr>
          <w:p w14:paraId="4EC140C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1186.4 ± 544.1</w:t>
            </w:r>
          </w:p>
        </w:tc>
        <w:tc>
          <w:tcPr>
            <w:tcW w:w="1232" w:type="pct"/>
            <w:vAlign w:val="center"/>
          </w:tcPr>
          <w:p w14:paraId="66DDF44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565.8 ± 297.7</w:t>
            </w:r>
          </w:p>
        </w:tc>
        <w:tc>
          <w:tcPr>
            <w:tcW w:w="512" w:type="pct"/>
            <w:vAlign w:val="center"/>
          </w:tcPr>
          <w:p w14:paraId="6BF0D1D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w:t>
            </w:r>
            <w:r>
              <w:rPr>
                <w:rFonts w:ascii="Times New Roman" w:hAnsi="Times New Roman" w:cs="Times New Roman"/>
              </w:rPr>
              <w:br/>
              <w:t>270.0*</w:t>
            </w:r>
          </w:p>
        </w:tc>
        <w:tc>
          <w:tcPr>
            <w:tcW w:w="549" w:type="pct"/>
            <w:vAlign w:val="center"/>
          </w:tcPr>
          <w:p w14:paraId="10AEBF4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&lt;0.001*</w:t>
            </w:r>
          </w:p>
        </w:tc>
      </w:tr>
      <w:tr w:rsidR="00C41BE6" w14:paraId="384CACFA" w14:textId="77777777" w:rsidTr="00C41BE6">
        <w:trPr>
          <w:trHeight w:val="20"/>
        </w:trPr>
        <w:tc>
          <w:tcPr>
            <w:cnfStyle w:val="001000000000" w:firstRow="0" w:lastRow="0" w:firstColumn="1" w:lastColumn="0" w:oddVBand="0" w:evenVBand="0" w:oddHBand="0" w:evenHBand="0" w:firstRowFirstColumn="0" w:firstRowLastColumn="0" w:lastRowFirstColumn="0" w:lastRowLastColumn="0"/>
            <w:tcW w:w="1228" w:type="pct"/>
            <w:vAlign w:val="center"/>
          </w:tcPr>
          <w:p w14:paraId="6C38ABB0" w14:textId="77777777" w:rsidR="00C41BE6" w:rsidRDefault="003568A7">
            <w:pPr>
              <w:ind w:left="-18"/>
              <w:jc w:val="center"/>
              <w:rPr>
                <w:rFonts w:ascii="Times New Roman" w:hAnsi="Times New Roman" w:cs="Times New Roman"/>
              </w:rPr>
            </w:pPr>
            <w:r>
              <w:rPr>
                <w:rFonts w:ascii="Times New Roman" w:hAnsi="Times New Roman" w:cs="Times New Roman"/>
              </w:rPr>
              <w:t>APAC</w:t>
            </w:r>
            <w:r w:rsidR="001A1C67">
              <w:rPr>
                <w:rFonts w:ascii="Times New Roman" w:hAnsi="Times New Roman" w:cs="Times New Roman"/>
              </w:rPr>
              <w:t xml:space="preserve"> score</w:t>
            </w:r>
          </w:p>
        </w:tc>
        <w:tc>
          <w:tcPr>
            <w:tcW w:w="1479" w:type="pct"/>
            <w:vAlign w:val="center"/>
          </w:tcPr>
          <w:p w14:paraId="551F63D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1.67 ± 1.90</w:t>
            </w:r>
          </w:p>
        </w:tc>
        <w:tc>
          <w:tcPr>
            <w:tcW w:w="1232" w:type="pct"/>
            <w:vAlign w:val="center"/>
          </w:tcPr>
          <w:p w14:paraId="304708E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6.32 ± 3.17</w:t>
            </w:r>
          </w:p>
        </w:tc>
        <w:tc>
          <w:tcPr>
            <w:tcW w:w="512" w:type="pct"/>
            <w:vAlign w:val="center"/>
          </w:tcPr>
          <w:p w14:paraId="302D43CF"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w:t>
            </w:r>
            <w:r>
              <w:rPr>
                <w:rFonts w:ascii="Times New Roman" w:hAnsi="Times New Roman" w:cs="Times New Roman"/>
              </w:rPr>
              <w:br/>
              <w:t>1503.5*</w:t>
            </w:r>
          </w:p>
        </w:tc>
        <w:tc>
          <w:tcPr>
            <w:tcW w:w="549" w:type="pct"/>
            <w:vAlign w:val="center"/>
          </w:tcPr>
          <w:p w14:paraId="538F376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&lt;0.001*</w:t>
            </w:r>
          </w:p>
        </w:tc>
      </w:tr>
    </w:tbl>
    <w:p w14:paraId="7094CEC1" w14:textId="77777777" w:rsidR="00C41BE6" w:rsidRDefault="003568A7">
      <w:pPr>
        <w:spacing w:after="0" w:line="240" w:lineRule="auto"/>
        <w:jc w:val="both"/>
        <w:rPr>
          <w:rFonts w:ascii="Times New Roman" w:eastAsia="Times New Roman" w:hAnsi="Times New Roman" w:cs="Akhbar MT"/>
          <w:sz w:val="18"/>
          <w:szCs w:val="18"/>
          <w:highlight w:val="yellow"/>
          <w:lang w:val="en-GB" w:eastAsia="zh-CN"/>
        </w:rPr>
      </w:pPr>
      <w:r>
        <w:rPr>
          <w:rFonts w:ascii="Times New Roman" w:eastAsia="Times New Roman" w:hAnsi="Times New Roman" w:cs="Akhbar MT"/>
          <w:sz w:val="18"/>
          <w:szCs w:val="18"/>
          <w:lang w:val="en-GB" w:eastAsia="zh-CN"/>
        </w:rPr>
        <w:t>Data presents as mean ± SD. SD.: Standard deviation; MELD: model for end-stage liver disease; U: Mann Whitney test. X2: Chi Square; PDGFR-β: platelet derived growth factor receptor beta, *: Significant when p value &lt;0.05.</w:t>
      </w:r>
    </w:p>
    <w:p w14:paraId="17CCBD73" w14:textId="77777777" w:rsidR="00D77AE1" w:rsidRDefault="00D77AE1" w:rsidP="00D77AE1">
      <w:pPr>
        <w:rPr>
          <w:rFonts w:ascii="Times New Roman" w:hAnsi="Times New Roman" w:cs="Times New Roman"/>
          <w:sz w:val="24"/>
          <w:szCs w:val="24"/>
          <w:highlight w:val="yellow"/>
          <w:lang w:val="en-GB" w:bidi="ar-EG"/>
        </w:rPr>
      </w:pPr>
    </w:p>
    <w:p w14:paraId="248C97A8" w14:textId="77777777" w:rsidR="00C41BE6" w:rsidRDefault="00D77AE1" w:rsidP="00D77AE1">
      <w:pPr>
        <w:rPr>
          <w:rFonts w:ascii="Times New Roman" w:hAnsi="Times New Roman" w:cs="Times New Roman"/>
          <w:sz w:val="24"/>
          <w:szCs w:val="24"/>
          <w:highlight w:val="yellow"/>
          <w:lang w:val="en-GB" w:bidi="ar-EG"/>
        </w:rPr>
      </w:pPr>
      <w:r>
        <w:rPr>
          <w:rFonts w:ascii="Times New Roman" w:hAnsi="Times New Roman" w:cs="Times New Roman"/>
          <w:sz w:val="24"/>
          <w:szCs w:val="24"/>
          <w:highlight w:val="yellow"/>
          <w:lang w:val="en-GB" w:bidi="ar-EG"/>
        </w:rPr>
        <w:t xml:space="preserve"> </w:t>
      </w:r>
    </w:p>
    <w:p w14:paraId="40A2C852" w14:textId="77777777" w:rsidR="00C41BE6" w:rsidRDefault="003568A7">
      <w:pPr>
        <w:pStyle w:val="Caption"/>
        <w:spacing w:after="0"/>
        <w:jc w:val="both"/>
      </w:pPr>
      <w:r>
        <w:t xml:space="preserve">Table </w:t>
      </w:r>
      <w:r>
        <w:fldChar w:fldCharType="begin"/>
      </w:r>
      <w:r>
        <w:instrText xml:space="preserve"> SEQ Table \* ARABIC </w:instrText>
      </w:r>
      <w:r>
        <w:fldChar w:fldCharType="separate"/>
      </w:r>
      <w:r w:rsidR="00DA6F31">
        <w:rPr>
          <w:noProof/>
        </w:rPr>
        <w:t>4</w:t>
      </w:r>
      <w:r>
        <w:fldChar w:fldCharType="end"/>
      </w:r>
      <w:r>
        <w:t>: Correlation between PDGFR-β and APAC and different parameters and between APAC and different parameters among cirrhotic patients with HCC</w:t>
      </w:r>
    </w:p>
    <w:tbl>
      <w:tblPr>
        <w:tblStyle w:val="GridTable6Colorful11"/>
        <w:tblW w:w="5000" w:type="pct"/>
        <w:tblLook w:val="04A0" w:firstRow="1" w:lastRow="0" w:firstColumn="1" w:lastColumn="0" w:noHBand="0" w:noVBand="1"/>
      </w:tblPr>
      <w:tblGrid>
        <w:gridCol w:w="3823"/>
        <w:gridCol w:w="1132"/>
        <w:gridCol w:w="1277"/>
        <w:gridCol w:w="1136"/>
        <w:gridCol w:w="1262"/>
      </w:tblGrid>
      <w:tr w:rsidR="00C41BE6" w14:paraId="2D508DEE" w14:textId="77777777" w:rsidTr="00C41B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Merge w:val="restart"/>
            <w:vAlign w:val="center"/>
          </w:tcPr>
          <w:p w14:paraId="3FEBC5C9" w14:textId="77777777" w:rsidR="00C41BE6" w:rsidRDefault="003568A7">
            <w:pPr>
              <w:jc w:val="center"/>
              <w:rPr>
                <w:rFonts w:ascii="Times New Roman" w:hAnsi="Times New Roman" w:cs="Times New Roman"/>
              </w:rPr>
            </w:pPr>
            <w:r>
              <w:rPr>
                <w:rFonts w:ascii="Times New Roman" w:hAnsi="Times New Roman" w:cs="Times New Roman"/>
              </w:rPr>
              <w:t>Variables</w:t>
            </w:r>
          </w:p>
        </w:tc>
        <w:tc>
          <w:tcPr>
            <w:tcW w:w="1396" w:type="pct"/>
            <w:gridSpan w:val="2"/>
            <w:vAlign w:val="center"/>
          </w:tcPr>
          <w:p w14:paraId="530F7B3F"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PDGFR-β (pg/ml)</w:t>
            </w:r>
          </w:p>
        </w:tc>
        <w:tc>
          <w:tcPr>
            <w:tcW w:w="1389" w:type="pct"/>
            <w:gridSpan w:val="2"/>
          </w:tcPr>
          <w:p w14:paraId="13F807D1"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APAC score</w:t>
            </w:r>
          </w:p>
        </w:tc>
      </w:tr>
      <w:tr w:rsidR="00C41BE6" w14:paraId="38217719"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Merge/>
            <w:vAlign w:val="center"/>
          </w:tcPr>
          <w:p w14:paraId="0661B55D" w14:textId="77777777" w:rsidR="00C41BE6" w:rsidRDefault="00C41BE6">
            <w:pPr>
              <w:jc w:val="center"/>
              <w:rPr>
                <w:rFonts w:ascii="Times New Roman" w:hAnsi="Times New Roman" w:cs="Times New Roman"/>
              </w:rPr>
            </w:pPr>
          </w:p>
        </w:tc>
        <w:tc>
          <w:tcPr>
            <w:tcW w:w="656" w:type="pct"/>
            <w:vAlign w:val="center"/>
          </w:tcPr>
          <w:p w14:paraId="6D77525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rs</w:t>
            </w:r>
          </w:p>
        </w:tc>
        <w:tc>
          <w:tcPr>
            <w:tcW w:w="739" w:type="pct"/>
            <w:vAlign w:val="center"/>
          </w:tcPr>
          <w:p w14:paraId="159F2EE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w:t>
            </w:r>
          </w:p>
        </w:tc>
        <w:tc>
          <w:tcPr>
            <w:tcW w:w="658" w:type="pct"/>
            <w:vAlign w:val="center"/>
          </w:tcPr>
          <w:p w14:paraId="16D7E0B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i/>
                <w:iCs/>
              </w:rPr>
              <w:t>Rs</w:t>
            </w:r>
          </w:p>
        </w:tc>
        <w:tc>
          <w:tcPr>
            <w:tcW w:w="731" w:type="pct"/>
            <w:vAlign w:val="center"/>
          </w:tcPr>
          <w:p w14:paraId="72D38851"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i/>
                <w:iCs/>
              </w:rPr>
              <w:t>p</w:t>
            </w:r>
          </w:p>
        </w:tc>
      </w:tr>
      <w:tr w:rsidR="00C41BE6" w14:paraId="39A87D72"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76E2D4AB" w14:textId="77777777" w:rsidR="00C41BE6" w:rsidRDefault="003568A7">
            <w:pPr>
              <w:jc w:val="center"/>
              <w:rPr>
                <w:rFonts w:ascii="Times New Roman" w:hAnsi="Times New Roman" w:cs="Times New Roman"/>
              </w:rPr>
            </w:pPr>
            <w:r>
              <w:rPr>
                <w:rFonts w:ascii="Times New Roman" w:hAnsi="Times New Roman" w:cs="Times New Roman"/>
              </w:rPr>
              <w:t>Age (years)</w:t>
            </w:r>
          </w:p>
        </w:tc>
        <w:tc>
          <w:tcPr>
            <w:tcW w:w="656" w:type="pct"/>
            <w:vAlign w:val="center"/>
          </w:tcPr>
          <w:p w14:paraId="7705951C"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0.095</w:t>
            </w:r>
          </w:p>
        </w:tc>
        <w:tc>
          <w:tcPr>
            <w:tcW w:w="739" w:type="pct"/>
            <w:vAlign w:val="center"/>
          </w:tcPr>
          <w:p w14:paraId="2C36501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0.558</w:t>
            </w:r>
          </w:p>
        </w:tc>
        <w:tc>
          <w:tcPr>
            <w:tcW w:w="658" w:type="pct"/>
            <w:vAlign w:val="center"/>
          </w:tcPr>
          <w:p w14:paraId="3AAAE15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-0.092</w:t>
            </w:r>
          </w:p>
        </w:tc>
        <w:tc>
          <w:tcPr>
            <w:tcW w:w="731" w:type="pct"/>
            <w:vAlign w:val="center"/>
          </w:tcPr>
          <w:p w14:paraId="48928FE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0.574</w:t>
            </w:r>
          </w:p>
        </w:tc>
      </w:tr>
      <w:tr w:rsidR="00C41BE6" w14:paraId="71DBCB6E"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0FE14C0B" w14:textId="77777777" w:rsidR="00C41BE6" w:rsidRDefault="003568A7">
            <w:pPr>
              <w:jc w:val="center"/>
              <w:rPr>
                <w:rFonts w:ascii="Times New Roman" w:hAnsi="Times New Roman" w:cs="Times New Roman"/>
              </w:rPr>
            </w:pPr>
            <w:r>
              <w:rPr>
                <w:rFonts w:ascii="Times New Roman" w:hAnsi="Times New Roman" w:cs="Times New Roman"/>
              </w:rPr>
              <w:t>Temperature (◦C)</w:t>
            </w:r>
          </w:p>
        </w:tc>
        <w:tc>
          <w:tcPr>
            <w:tcW w:w="656" w:type="pct"/>
            <w:vAlign w:val="center"/>
          </w:tcPr>
          <w:p w14:paraId="512EFC5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0.267</w:t>
            </w:r>
          </w:p>
        </w:tc>
        <w:tc>
          <w:tcPr>
            <w:tcW w:w="739" w:type="pct"/>
            <w:vAlign w:val="center"/>
          </w:tcPr>
          <w:p w14:paraId="129468B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0.095</w:t>
            </w:r>
          </w:p>
        </w:tc>
        <w:tc>
          <w:tcPr>
            <w:tcW w:w="658" w:type="pct"/>
            <w:vAlign w:val="center"/>
          </w:tcPr>
          <w:p w14:paraId="6282ABD1"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-0.222</w:t>
            </w:r>
          </w:p>
        </w:tc>
        <w:tc>
          <w:tcPr>
            <w:tcW w:w="731" w:type="pct"/>
            <w:vAlign w:val="center"/>
          </w:tcPr>
          <w:p w14:paraId="4A06619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0.207</w:t>
            </w:r>
          </w:p>
        </w:tc>
      </w:tr>
      <w:tr w:rsidR="00C41BE6" w14:paraId="7B02538C"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18181D6B" w14:textId="77777777" w:rsidR="00C41BE6" w:rsidRDefault="003568A7">
            <w:pPr>
              <w:jc w:val="center"/>
              <w:rPr>
                <w:rFonts w:ascii="Times New Roman" w:hAnsi="Times New Roman" w:cs="Times New Roman"/>
              </w:rPr>
            </w:pPr>
            <w:r>
              <w:rPr>
                <w:rFonts w:ascii="Times New Roman" w:hAnsi="Times New Roman" w:cs="Times New Roman"/>
              </w:rPr>
              <w:t>SBP (mmHg)</w:t>
            </w:r>
          </w:p>
        </w:tc>
        <w:tc>
          <w:tcPr>
            <w:tcW w:w="656" w:type="pct"/>
            <w:vAlign w:val="center"/>
          </w:tcPr>
          <w:p w14:paraId="702D5F6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-0.184</w:t>
            </w:r>
          </w:p>
        </w:tc>
        <w:tc>
          <w:tcPr>
            <w:tcW w:w="739" w:type="pct"/>
            <w:vAlign w:val="center"/>
          </w:tcPr>
          <w:p w14:paraId="17B28C0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0.255</w:t>
            </w:r>
          </w:p>
        </w:tc>
        <w:tc>
          <w:tcPr>
            <w:tcW w:w="658" w:type="pct"/>
            <w:vAlign w:val="center"/>
          </w:tcPr>
          <w:p w14:paraId="37B1A6D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0.121</w:t>
            </w:r>
          </w:p>
        </w:tc>
        <w:tc>
          <w:tcPr>
            <w:tcW w:w="731" w:type="pct"/>
            <w:vAlign w:val="center"/>
          </w:tcPr>
          <w:p w14:paraId="355AE4A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0.457</w:t>
            </w:r>
          </w:p>
        </w:tc>
      </w:tr>
      <w:tr w:rsidR="00C41BE6" w14:paraId="1E670113"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234C1840" w14:textId="77777777" w:rsidR="00C41BE6" w:rsidRDefault="003568A7">
            <w:pPr>
              <w:jc w:val="center"/>
              <w:rPr>
                <w:rFonts w:ascii="Times New Roman" w:hAnsi="Times New Roman" w:cs="Times New Roman"/>
              </w:rPr>
            </w:pPr>
            <w:r>
              <w:rPr>
                <w:rFonts w:ascii="Times New Roman" w:hAnsi="Times New Roman" w:cs="Times New Roman"/>
              </w:rPr>
              <w:t>DBP (mmHg)</w:t>
            </w:r>
          </w:p>
        </w:tc>
        <w:tc>
          <w:tcPr>
            <w:tcW w:w="656" w:type="pct"/>
            <w:vAlign w:val="center"/>
          </w:tcPr>
          <w:p w14:paraId="394B026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-0.209</w:t>
            </w:r>
          </w:p>
        </w:tc>
        <w:tc>
          <w:tcPr>
            <w:tcW w:w="739" w:type="pct"/>
            <w:vAlign w:val="center"/>
          </w:tcPr>
          <w:p w14:paraId="0DA8EBC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0.196</w:t>
            </w:r>
          </w:p>
        </w:tc>
        <w:tc>
          <w:tcPr>
            <w:tcW w:w="658" w:type="pct"/>
            <w:vAlign w:val="center"/>
          </w:tcPr>
          <w:p w14:paraId="24695B5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0.025</w:t>
            </w:r>
          </w:p>
        </w:tc>
        <w:tc>
          <w:tcPr>
            <w:tcW w:w="731" w:type="pct"/>
            <w:vAlign w:val="center"/>
          </w:tcPr>
          <w:p w14:paraId="78E2586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0.876</w:t>
            </w:r>
          </w:p>
        </w:tc>
      </w:tr>
      <w:tr w:rsidR="00C41BE6" w14:paraId="44E5E04E"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70A107A5" w14:textId="77777777" w:rsidR="00C41BE6" w:rsidRDefault="003568A7">
            <w:pPr>
              <w:jc w:val="center"/>
              <w:rPr>
                <w:rFonts w:ascii="Times New Roman" w:hAnsi="Times New Roman" w:cs="Times New Roman"/>
              </w:rPr>
            </w:pPr>
            <w:r>
              <w:rPr>
                <w:rFonts w:ascii="Times New Roman" w:hAnsi="Times New Roman" w:cs="Times New Roman"/>
              </w:rPr>
              <w:t>Pulse (beat/min)</w:t>
            </w:r>
          </w:p>
        </w:tc>
        <w:tc>
          <w:tcPr>
            <w:tcW w:w="656" w:type="pct"/>
            <w:vAlign w:val="center"/>
          </w:tcPr>
          <w:p w14:paraId="6CAF4BA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-0.279</w:t>
            </w:r>
          </w:p>
        </w:tc>
        <w:tc>
          <w:tcPr>
            <w:tcW w:w="739" w:type="pct"/>
            <w:vAlign w:val="center"/>
          </w:tcPr>
          <w:p w14:paraId="1BF6830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0.082</w:t>
            </w:r>
          </w:p>
        </w:tc>
        <w:tc>
          <w:tcPr>
            <w:tcW w:w="658" w:type="pct"/>
            <w:vAlign w:val="center"/>
          </w:tcPr>
          <w:p w14:paraId="5B0CE43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0.131</w:t>
            </w:r>
          </w:p>
        </w:tc>
        <w:tc>
          <w:tcPr>
            <w:tcW w:w="731" w:type="pct"/>
            <w:vAlign w:val="center"/>
          </w:tcPr>
          <w:p w14:paraId="189C729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0.419</w:t>
            </w:r>
          </w:p>
        </w:tc>
      </w:tr>
      <w:tr w:rsidR="00C41BE6" w14:paraId="02A8844D"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41DAE00F" w14:textId="77777777" w:rsidR="00C41BE6" w:rsidRDefault="003568A7">
            <w:pPr>
              <w:jc w:val="center"/>
              <w:rPr>
                <w:rFonts w:ascii="Times New Roman" w:hAnsi="Times New Roman" w:cs="Times New Roman"/>
              </w:rPr>
            </w:pPr>
            <w:r>
              <w:rPr>
                <w:rFonts w:ascii="Times New Roman" w:hAnsi="Times New Roman" w:cs="Times New Roman"/>
              </w:rPr>
              <w:t>RR (breath/min)</w:t>
            </w:r>
          </w:p>
        </w:tc>
        <w:tc>
          <w:tcPr>
            <w:tcW w:w="656" w:type="pct"/>
            <w:vAlign w:val="center"/>
          </w:tcPr>
          <w:p w14:paraId="04D2837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-0.042</w:t>
            </w:r>
          </w:p>
        </w:tc>
        <w:tc>
          <w:tcPr>
            <w:tcW w:w="739" w:type="pct"/>
            <w:vAlign w:val="center"/>
          </w:tcPr>
          <w:p w14:paraId="1B0ACBF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0.796</w:t>
            </w:r>
          </w:p>
        </w:tc>
        <w:tc>
          <w:tcPr>
            <w:tcW w:w="658" w:type="pct"/>
            <w:vAlign w:val="center"/>
          </w:tcPr>
          <w:p w14:paraId="083FAB1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0.015</w:t>
            </w:r>
          </w:p>
        </w:tc>
        <w:tc>
          <w:tcPr>
            <w:tcW w:w="731" w:type="pct"/>
            <w:vAlign w:val="center"/>
          </w:tcPr>
          <w:p w14:paraId="0D9405A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0.925</w:t>
            </w:r>
          </w:p>
        </w:tc>
      </w:tr>
      <w:tr w:rsidR="00C41BE6" w14:paraId="51D3BF46"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15E821CB" w14:textId="77777777" w:rsidR="00C41BE6" w:rsidRDefault="003568A7">
            <w:pPr>
              <w:jc w:val="center"/>
              <w:rPr>
                <w:rFonts w:ascii="Times New Roman" w:hAnsi="Times New Roman" w:cs="Times New Roman"/>
              </w:rPr>
            </w:pPr>
            <w:r>
              <w:rPr>
                <w:rFonts w:ascii="Times New Roman" w:hAnsi="Times New Roman" w:cs="Times New Roman"/>
              </w:rPr>
              <w:t>FBS (mg/dL)</w:t>
            </w:r>
          </w:p>
        </w:tc>
        <w:tc>
          <w:tcPr>
            <w:tcW w:w="656" w:type="pct"/>
            <w:vAlign w:val="center"/>
          </w:tcPr>
          <w:p w14:paraId="0565157C"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-0.087</w:t>
            </w:r>
          </w:p>
        </w:tc>
        <w:tc>
          <w:tcPr>
            <w:tcW w:w="739" w:type="pct"/>
            <w:vAlign w:val="center"/>
          </w:tcPr>
          <w:p w14:paraId="11F5EB0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0.593</w:t>
            </w:r>
          </w:p>
        </w:tc>
        <w:tc>
          <w:tcPr>
            <w:tcW w:w="658" w:type="pct"/>
            <w:vAlign w:val="center"/>
          </w:tcPr>
          <w:p w14:paraId="224608C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0.217</w:t>
            </w:r>
          </w:p>
        </w:tc>
        <w:tc>
          <w:tcPr>
            <w:tcW w:w="731" w:type="pct"/>
            <w:vAlign w:val="center"/>
          </w:tcPr>
          <w:p w14:paraId="73CB1AE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0.179</w:t>
            </w:r>
          </w:p>
        </w:tc>
      </w:tr>
      <w:tr w:rsidR="00C41BE6" w14:paraId="34902E60"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435DB27A" w14:textId="77777777" w:rsidR="00C41BE6" w:rsidRDefault="003568A7">
            <w:pPr>
              <w:jc w:val="center"/>
              <w:rPr>
                <w:rFonts w:ascii="Times New Roman" w:hAnsi="Times New Roman" w:cs="Times New Roman"/>
              </w:rPr>
            </w:pPr>
            <w:r>
              <w:rPr>
                <w:rFonts w:ascii="Times New Roman" w:hAnsi="Times New Roman" w:cs="Times New Roman"/>
              </w:rPr>
              <w:t>Hb (g/dL)</w:t>
            </w:r>
          </w:p>
        </w:tc>
        <w:tc>
          <w:tcPr>
            <w:tcW w:w="656" w:type="pct"/>
            <w:vAlign w:val="center"/>
          </w:tcPr>
          <w:p w14:paraId="7C94C82F"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0.222</w:t>
            </w:r>
          </w:p>
        </w:tc>
        <w:tc>
          <w:tcPr>
            <w:tcW w:w="739" w:type="pct"/>
            <w:vAlign w:val="center"/>
          </w:tcPr>
          <w:p w14:paraId="72D0B96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0.168</w:t>
            </w:r>
          </w:p>
        </w:tc>
        <w:tc>
          <w:tcPr>
            <w:tcW w:w="658" w:type="pct"/>
            <w:vAlign w:val="center"/>
          </w:tcPr>
          <w:p w14:paraId="4C6631EF"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-0.185</w:t>
            </w:r>
          </w:p>
        </w:tc>
        <w:tc>
          <w:tcPr>
            <w:tcW w:w="731" w:type="pct"/>
            <w:vAlign w:val="center"/>
          </w:tcPr>
          <w:p w14:paraId="0796859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0.254</w:t>
            </w:r>
          </w:p>
        </w:tc>
      </w:tr>
      <w:tr w:rsidR="00C41BE6" w14:paraId="00991821"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1A4FF304" w14:textId="77777777" w:rsidR="00C41BE6" w:rsidRDefault="003568A7">
            <w:pPr>
              <w:jc w:val="center"/>
              <w:rPr>
                <w:rFonts w:ascii="Times New Roman" w:hAnsi="Times New Roman" w:cs="Times New Roman"/>
              </w:rPr>
            </w:pPr>
            <w:r>
              <w:rPr>
                <w:rFonts w:ascii="Times New Roman" w:hAnsi="Times New Roman" w:cs="Times New Roman"/>
              </w:rPr>
              <w:t>WBCs (X10</w:t>
            </w:r>
            <w:r>
              <w:rPr>
                <w:rFonts w:ascii="Times New Roman" w:hAnsi="Times New Roman" w:cs="Times New Roman"/>
                <w:vertAlign w:val="superscript"/>
              </w:rPr>
              <w:t>9</w:t>
            </w:r>
            <w:r>
              <w:rPr>
                <w:rFonts w:ascii="Times New Roman" w:hAnsi="Times New Roman" w:cs="Times New Roman"/>
              </w:rPr>
              <w:t>/L)</w:t>
            </w:r>
          </w:p>
        </w:tc>
        <w:tc>
          <w:tcPr>
            <w:tcW w:w="656" w:type="pct"/>
            <w:vAlign w:val="center"/>
          </w:tcPr>
          <w:p w14:paraId="082AA7A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-0.185</w:t>
            </w:r>
          </w:p>
        </w:tc>
        <w:tc>
          <w:tcPr>
            <w:tcW w:w="739" w:type="pct"/>
            <w:vAlign w:val="center"/>
          </w:tcPr>
          <w:p w14:paraId="676DE11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0.252</w:t>
            </w:r>
          </w:p>
        </w:tc>
        <w:tc>
          <w:tcPr>
            <w:tcW w:w="658" w:type="pct"/>
            <w:vAlign w:val="center"/>
          </w:tcPr>
          <w:p w14:paraId="7D6231F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0.091</w:t>
            </w:r>
          </w:p>
        </w:tc>
        <w:tc>
          <w:tcPr>
            <w:tcW w:w="731" w:type="pct"/>
            <w:vAlign w:val="center"/>
          </w:tcPr>
          <w:p w14:paraId="3B24749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0.575</w:t>
            </w:r>
          </w:p>
        </w:tc>
      </w:tr>
      <w:tr w:rsidR="00C41BE6" w14:paraId="4A0F5E4B"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0C3F4C9C" w14:textId="77777777" w:rsidR="00C41BE6" w:rsidRDefault="003568A7">
            <w:pPr>
              <w:jc w:val="center"/>
              <w:rPr>
                <w:rFonts w:ascii="Times New Roman" w:hAnsi="Times New Roman" w:cs="Times New Roman"/>
              </w:rPr>
            </w:pPr>
            <w:r>
              <w:rPr>
                <w:rFonts w:ascii="Times New Roman" w:hAnsi="Times New Roman" w:cs="Times New Roman"/>
              </w:rPr>
              <w:t>Platelets (X10</w:t>
            </w:r>
            <w:r>
              <w:rPr>
                <w:rFonts w:ascii="Times New Roman" w:hAnsi="Times New Roman" w:cs="Times New Roman"/>
                <w:vertAlign w:val="superscript"/>
              </w:rPr>
              <w:t>9</w:t>
            </w:r>
            <w:r>
              <w:rPr>
                <w:rFonts w:ascii="Times New Roman" w:hAnsi="Times New Roman" w:cs="Times New Roman"/>
              </w:rPr>
              <w:t>/L)</w:t>
            </w:r>
          </w:p>
        </w:tc>
        <w:tc>
          <w:tcPr>
            <w:tcW w:w="656" w:type="pct"/>
            <w:vAlign w:val="center"/>
          </w:tcPr>
          <w:p w14:paraId="736AAD0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-0.053</w:t>
            </w:r>
          </w:p>
        </w:tc>
        <w:tc>
          <w:tcPr>
            <w:tcW w:w="739" w:type="pct"/>
            <w:vAlign w:val="center"/>
          </w:tcPr>
          <w:p w14:paraId="5E7BC46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0.745</w:t>
            </w:r>
          </w:p>
        </w:tc>
        <w:tc>
          <w:tcPr>
            <w:tcW w:w="658" w:type="pct"/>
            <w:vAlign w:val="center"/>
          </w:tcPr>
          <w:p w14:paraId="4D2AC57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-0.042</w:t>
            </w:r>
          </w:p>
        </w:tc>
        <w:tc>
          <w:tcPr>
            <w:tcW w:w="731" w:type="pct"/>
            <w:vAlign w:val="center"/>
          </w:tcPr>
          <w:p w14:paraId="7CE721F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0.798</w:t>
            </w:r>
          </w:p>
        </w:tc>
      </w:tr>
      <w:tr w:rsidR="00C41BE6" w14:paraId="5FA292AF"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4AA1416E" w14:textId="77777777" w:rsidR="00C41BE6" w:rsidRDefault="003568A7">
            <w:pPr>
              <w:jc w:val="center"/>
              <w:rPr>
                <w:rFonts w:ascii="Times New Roman" w:hAnsi="Times New Roman" w:cs="Times New Roman"/>
              </w:rPr>
            </w:pPr>
            <w:r>
              <w:rPr>
                <w:rFonts w:ascii="Times New Roman" w:hAnsi="Times New Roman" w:cs="Times New Roman"/>
              </w:rPr>
              <w:t>Creatinine (mg/dL)</w:t>
            </w:r>
          </w:p>
        </w:tc>
        <w:tc>
          <w:tcPr>
            <w:tcW w:w="656" w:type="pct"/>
            <w:vAlign w:val="center"/>
          </w:tcPr>
          <w:p w14:paraId="2757FF2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739" w:type="pct"/>
            <w:vAlign w:val="center"/>
          </w:tcPr>
          <w:p w14:paraId="75E4BEC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1.000</w:t>
            </w:r>
          </w:p>
        </w:tc>
        <w:tc>
          <w:tcPr>
            <w:tcW w:w="658" w:type="pct"/>
            <w:vAlign w:val="center"/>
          </w:tcPr>
          <w:p w14:paraId="6378C8C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-0.091</w:t>
            </w:r>
          </w:p>
        </w:tc>
        <w:tc>
          <w:tcPr>
            <w:tcW w:w="731" w:type="pct"/>
            <w:vAlign w:val="center"/>
          </w:tcPr>
          <w:p w14:paraId="2BBBD33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0.576</w:t>
            </w:r>
          </w:p>
        </w:tc>
      </w:tr>
      <w:tr w:rsidR="00C41BE6" w14:paraId="0A1E2FC8"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7AE23C21" w14:textId="77777777" w:rsidR="00C41BE6" w:rsidRDefault="003568A7">
            <w:pPr>
              <w:jc w:val="center"/>
              <w:rPr>
                <w:rFonts w:ascii="Times New Roman" w:hAnsi="Times New Roman" w:cs="Times New Roman"/>
              </w:rPr>
            </w:pPr>
            <w:r>
              <w:rPr>
                <w:rFonts w:ascii="Times New Roman" w:hAnsi="Times New Roman" w:cs="Times New Roman"/>
              </w:rPr>
              <w:t>Urea (mg/dL)</w:t>
            </w:r>
          </w:p>
        </w:tc>
        <w:tc>
          <w:tcPr>
            <w:tcW w:w="656" w:type="pct"/>
            <w:vAlign w:val="center"/>
          </w:tcPr>
          <w:p w14:paraId="5429C82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-0.215</w:t>
            </w:r>
          </w:p>
        </w:tc>
        <w:tc>
          <w:tcPr>
            <w:tcW w:w="739" w:type="pct"/>
            <w:vAlign w:val="center"/>
          </w:tcPr>
          <w:p w14:paraId="61F07E4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0.182</w:t>
            </w:r>
          </w:p>
        </w:tc>
        <w:tc>
          <w:tcPr>
            <w:tcW w:w="658" w:type="pct"/>
            <w:vAlign w:val="center"/>
          </w:tcPr>
          <w:p w14:paraId="622911C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0.255</w:t>
            </w:r>
          </w:p>
        </w:tc>
        <w:tc>
          <w:tcPr>
            <w:tcW w:w="731" w:type="pct"/>
            <w:vAlign w:val="center"/>
          </w:tcPr>
          <w:p w14:paraId="5C9CE58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0.113</w:t>
            </w:r>
          </w:p>
        </w:tc>
      </w:tr>
      <w:tr w:rsidR="00C41BE6" w14:paraId="53100DC0"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431BC6ED" w14:textId="77777777" w:rsidR="00C41BE6" w:rsidRDefault="003568A7">
            <w:pPr>
              <w:jc w:val="center"/>
              <w:rPr>
                <w:rFonts w:ascii="Times New Roman" w:hAnsi="Times New Roman" w:cs="Times New Roman"/>
              </w:rPr>
            </w:pPr>
            <w:r>
              <w:rPr>
                <w:rFonts w:ascii="Times New Roman" w:hAnsi="Times New Roman" w:cs="Times New Roman"/>
              </w:rPr>
              <w:t>ALT (U/L)</w:t>
            </w:r>
          </w:p>
        </w:tc>
        <w:tc>
          <w:tcPr>
            <w:tcW w:w="656" w:type="pct"/>
            <w:vAlign w:val="center"/>
          </w:tcPr>
          <w:p w14:paraId="1BAB3F9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-0.999*</w:t>
            </w:r>
          </w:p>
        </w:tc>
        <w:tc>
          <w:tcPr>
            <w:tcW w:w="739" w:type="pct"/>
            <w:vAlign w:val="center"/>
          </w:tcPr>
          <w:p w14:paraId="13B2BD3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c>
          <w:tcPr>
            <w:tcW w:w="658" w:type="pct"/>
            <w:vAlign w:val="center"/>
          </w:tcPr>
          <w:p w14:paraId="4B111C5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0.773*</w:t>
            </w:r>
          </w:p>
        </w:tc>
        <w:tc>
          <w:tcPr>
            <w:tcW w:w="731" w:type="pct"/>
            <w:vAlign w:val="center"/>
          </w:tcPr>
          <w:p w14:paraId="6A7985D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r>
      <w:tr w:rsidR="00C41BE6" w14:paraId="1FA86328"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29EC62A2" w14:textId="77777777" w:rsidR="00C41BE6" w:rsidRDefault="003568A7">
            <w:pPr>
              <w:jc w:val="center"/>
              <w:rPr>
                <w:rFonts w:ascii="Times New Roman" w:hAnsi="Times New Roman" w:cs="Times New Roman"/>
              </w:rPr>
            </w:pPr>
            <w:r>
              <w:rPr>
                <w:rFonts w:ascii="Times New Roman" w:hAnsi="Times New Roman" w:cs="Times New Roman"/>
              </w:rPr>
              <w:t>AST (U/L)</w:t>
            </w:r>
          </w:p>
        </w:tc>
        <w:tc>
          <w:tcPr>
            <w:tcW w:w="656" w:type="pct"/>
            <w:vAlign w:val="center"/>
          </w:tcPr>
          <w:p w14:paraId="6C90993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0.050</w:t>
            </w:r>
          </w:p>
        </w:tc>
        <w:tc>
          <w:tcPr>
            <w:tcW w:w="739" w:type="pct"/>
            <w:vAlign w:val="center"/>
          </w:tcPr>
          <w:p w14:paraId="025203C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0.759</w:t>
            </w:r>
          </w:p>
        </w:tc>
        <w:tc>
          <w:tcPr>
            <w:tcW w:w="658" w:type="pct"/>
            <w:vAlign w:val="center"/>
          </w:tcPr>
          <w:p w14:paraId="1F67E9C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-0.092</w:t>
            </w:r>
          </w:p>
        </w:tc>
        <w:tc>
          <w:tcPr>
            <w:tcW w:w="731" w:type="pct"/>
            <w:vAlign w:val="center"/>
          </w:tcPr>
          <w:p w14:paraId="7080FE4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0.570</w:t>
            </w:r>
          </w:p>
        </w:tc>
      </w:tr>
      <w:tr w:rsidR="00C41BE6" w14:paraId="64E4CBE7"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19F0BC31" w14:textId="77777777" w:rsidR="00C41BE6" w:rsidRDefault="003568A7">
            <w:pPr>
              <w:jc w:val="center"/>
              <w:rPr>
                <w:rFonts w:ascii="Times New Roman" w:hAnsi="Times New Roman" w:cs="Times New Roman"/>
              </w:rPr>
            </w:pPr>
            <w:r>
              <w:rPr>
                <w:rFonts w:ascii="Times New Roman" w:hAnsi="Times New Roman" w:cs="Times New Roman"/>
              </w:rPr>
              <w:t>Total bilirubin (mg/dL)</w:t>
            </w:r>
          </w:p>
        </w:tc>
        <w:tc>
          <w:tcPr>
            <w:tcW w:w="656" w:type="pct"/>
            <w:vAlign w:val="center"/>
          </w:tcPr>
          <w:p w14:paraId="4370624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-0.106</w:t>
            </w:r>
          </w:p>
        </w:tc>
        <w:tc>
          <w:tcPr>
            <w:tcW w:w="739" w:type="pct"/>
            <w:vAlign w:val="center"/>
          </w:tcPr>
          <w:p w14:paraId="49779D7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0.515</w:t>
            </w:r>
          </w:p>
        </w:tc>
        <w:tc>
          <w:tcPr>
            <w:tcW w:w="658" w:type="pct"/>
            <w:vAlign w:val="center"/>
          </w:tcPr>
          <w:p w14:paraId="0CE04C8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0.206</w:t>
            </w:r>
          </w:p>
        </w:tc>
        <w:tc>
          <w:tcPr>
            <w:tcW w:w="731" w:type="pct"/>
            <w:vAlign w:val="center"/>
          </w:tcPr>
          <w:p w14:paraId="13E575CC"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0.203</w:t>
            </w:r>
          </w:p>
        </w:tc>
      </w:tr>
      <w:tr w:rsidR="00C41BE6" w14:paraId="3E3397DC"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386F50FC" w14:textId="77777777" w:rsidR="00C41BE6" w:rsidRDefault="003568A7">
            <w:pPr>
              <w:jc w:val="center"/>
              <w:rPr>
                <w:rFonts w:ascii="Times New Roman" w:hAnsi="Times New Roman" w:cs="Times New Roman"/>
              </w:rPr>
            </w:pPr>
            <w:r>
              <w:rPr>
                <w:rFonts w:ascii="Times New Roman" w:hAnsi="Times New Roman" w:cs="Times New Roman"/>
              </w:rPr>
              <w:t>Direct bilirubin (mg/dL)</w:t>
            </w:r>
          </w:p>
        </w:tc>
        <w:tc>
          <w:tcPr>
            <w:tcW w:w="656" w:type="pct"/>
            <w:vAlign w:val="center"/>
          </w:tcPr>
          <w:p w14:paraId="218294E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0.018</w:t>
            </w:r>
          </w:p>
        </w:tc>
        <w:tc>
          <w:tcPr>
            <w:tcW w:w="739" w:type="pct"/>
            <w:vAlign w:val="center"/>
          </w:tcPr>
          <w:p w14:paraId="29968AE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0.915</w:t>
            </w:r>
          </w:p>
        </w:tc>
        <w:tc>
          <w:tcPr>
            <w:tcW w:w="658" w:type="pct"/>
            <w:vAlign w:val="center"/>
          </w:tcPr>
          <w:p w14:paraId="0F5C845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0.044</w:t>
            </w:r>
          </w:p>
        </w:tc>
        <w:tc>
          <w:tcPr>
            <w:tcW w:w="731" w:type="pct"/>
            <w:vAlign w:val="center"/>
          </w:tcPr>
          <w:p w14:paraId="6B4E843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0.785</w:t>
            </w:r>
          </w:p>
        </w:tc>
      </w:tr>
      <w:tr w:rsidR="00C41BE6" w14:paraId="4B02B06F"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5C55B740" w14:textId="77777777" w:rsidR="00C41BE6" w:rsidRDefault="003568A7">
            <w:pPr>
              <w:jc w:val="center"/>
              <w:rPr>
                <w:rFonts w:ascii="Times New Roman" w:hAnsi="Times New Roman" w:cs="Times New Roman"/>
              </w:rPr>
            </w:pPr>
            <w:r>
              <w:rPr>
                <w:rFonts w:ascii="Times New Roman" w:hAnsi="Times New Roman" w:cs="Times New Roman"/>
              </w:rPr>
              <w:t>Albumin (g/dL)</w:t>
            </w:r>
          </w:p>
        </w:tc>
        <w:tc>
          <w:tcPr>
            <w:tcW w:w="656" w:type="pct"/>
            <w:vAlign w:val="center"/>
          </w:tcPr>
          <w:p w14:paraId="5F63F46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0.143</w:t>
            </w:r>
          </w:p>
        </w:tc>
        <w:tc>
          <w:tcPr>
            <w:tcW w:w="739" w:type="pct"/>
            <w:vAlign w:val="center"/>
          </w:tcPr>
          <w:p w14:paraId="18A411A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0.379</w:t>
            </w:r>
          </w:p>
        </w:tc>
        <w:tc>
          <w:tcPr>
            <w:tcW w:w="658" w:type="pct"/>
            <w:vAlign w:val="center"/>
          </w:tcPr>
          <w:p w14:paraId="6946CFC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-0.210</w:t>
            </w:r>
          </w:p>
        </w:tc>
        <w:tc>
          <w:tcPr>
            <w:tcW w:w="731" w:type="pct"/>
            <w:vAlign w:val="center"/>
          </w:tcPr>
          <w:p w14:paraId="5C9E968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0.193</w:t>
            </w:r>
          </w:p>
        </w:tc>
      </w:tr>
      <w:tr w:rsidR="00C41BE6" w14:paraId="73A48CF3"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41376CEA" w14:textId="77777777" w:rsidR="00C41BE6" w:rsidRDefault="003568A7">
            <w:pPr>
              <w:jc w:val="center"/>
              <w:rPr>
                <w:rFonts w:ascii="Times New Roman" w:hAnsi="Times New Roman" w:cs="Times New Roman"/>
              </w:rPr>
            </w:pPr>
            <w:r>
              <w:rPr>
                <w:rFonts w:ascii="Times New Roman" w:hAnsi="Times New Roman" w:cs="Times New Roman"/>
              </w:rPr>
              <w:t>INR</w:t>
            </w:r>
          </w:p>
        </w:tc>
        <w:tc>
          <w:tcPr>
            <w:tcW w:w="656" w:type="pct"/>
            <w:vAlign w:val="center"/>
          </w:tcPr>
          <w:p w14:paraId="065A17A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-0.150</w:t>
            </w:r>
          </w:p>
        </w:tc>
        <w:tc>
          <w:tcPr>
            <w:tcW w:w="739" w:type="pct"/>
            <w:vAlign w:val="center"/>
          </w:tcPr>
          <w:p w14:paraId="49499EC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0.354</w:t>
            </w:r>
          </w:p>
        </w:tc>
        <w:tc>
          <w:tcPr>
            <w:tcW w:w="658" w:type="pct"/>
            <w:vAlign w:val="center"/>
          </w:tcPr>
          <w:p w14:paraId="285C4A7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-0.023</w:t>
            </w:r>
          </w:p>
        </w:tc>
        <w:tc>
          <w:tcPr>
            <w:tcW w:w="731" w:type="pct"/>
            <w:vAlign w:val="center"/>
          </w:tcPr>
          <w:p w14:paraId="77A0ECA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0.886</w:t>
            </w:r>
          </w:p>
        </w:tc>
      </w:tr>
      <w:tr w:rsidR="00C41BE6" w14:paraId="2B3E77F7"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0AC039E5" w14:textId="77777777" w:rsidR="00C41BE6" w:rsidRDefault="003568A7">
            <w:pPr>
              <w:jc w:val="center"/>
              <w:rPr>
                <w:rFonts w:ascii="Times New Roman" w:hAnsi="Times New Roman" w:cs="Times New Roman"/>
              </w:rPr>
            </w:pPr>
            <w:r>
              <w:rPr>
                <w:rFonts w:ascii="Times New Roman" w:hAnsi="Times New Roman" w:cs="Times New Roman"/>
              </w:rPr>
              <w:t>ESR (mm/hr)</w:t>
            </w:r>
          </w:p>
        </w:tc>
        <w:tc>
          <w:tcPr>
            <w:tcW w:w="656" w:type="pct"/>
            <w:vAlign w:val="center"/>
          </w:tcPr>
          <w:p w14:paraId="0B79C42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-0.084</w:t>
            </w:r>
          </w:p>
        </w:tc>
        <w:tc>
          <w:tcPr>
            <w:tcW w:w="739" w:type="pct"/>
            <w:vAlign w:val="center"/>
          </w:tcPr>
          <w:p w14:paraId="596714B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0.606</w:t>
            </w:r>
          </w:p>
        </w:tc>
        <w:tc>
          <w:tcPr>
            <w:tcW w:w="658" w:type="pct"/>
            <w:vAlign w:val="center"/>
          </w:tcPr>
          <w:p w14:paraId="62917BD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-0.036</w:t>
            </w:r>
          </w:p>
        </w:tc>
        <w:tc>
          <w:tcPr>
            <w:tcW w:w="731" w:type="pct"/>
            <w:vAlign w:val="center"/>
          </w:tcPr>
          <w:p w14:paraId="0248505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0.824</w:t>
            </w:r>
          </w:p>
        </w:tc>
      </w:tr>
      <w:tr w:rsidR="00C41BE6" w14:paraId="7A4CB61D"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168D0338" w14:textId="77777777" w:rsidR="00C41BE6" w:rsidRDefault="003568A7">
            <w:pPr>
              <w:jc w:val="center"/>
              <w:rPr>
                <w:rFonts w:ascii="Times New Roman" w:hAnsi="Times New Roman" w:cs="Times New Roman"/>
              </w:rPr>
            </w:pPr>
            <w:r>
              <w:rPr>
                <w:rFonts w:ascii="Times New Roman" w:hAnsi="Times New Roman" w:cs="Times New Roman"/>
              </w:rPr>
              <w:t>AFP (ng/mL)</w:t>
            </w:r>
          </w:p>
        </w:tc>
        <w:tc>
          <w:tcPr>
            <w:tcW w:w="656" w:type="pct"/>
            <w:vAlign w:val="center"/>
          </w:tcPr>
          <w:p w14:paraId="3AC1469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0.086</w:t>
            </w:r>
          </w:p>
        </w:tc>
        <w:tc>
          <w:tcPr>
            <w:tcW w:w="739" w:type="pct"/>
            <w:vAlign w:val="center"/>
          </w:tcPr>
          <w:p w14:paraId="23BD36F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0.596</w:t>
            </w:r>
          </w:p>
        </w:tc>
        <w:tc>
          <w:tcPr>
            <w:tcW w:w="658" w:type="pct"/>
            <w:vAlign w:val="center"/>
          </w:tcPr>
          <w:p w14:paraId="2CF2791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-0.164</w:t>
            </w:r>
          </w:p>
        </w:tc>
        <w:tc>
          <w:tcPr>
            <w:tcW w:w="731" w:type="pct"/>
            <w:vAlign w:val="center"/>
          </w:tcPr>
          <w:p w14:paraId="6D1C85F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0.312</w:t>
            </w:r>
          </w:p>
        </w:tc>
      </w:tr>
      <w:tr w:rsidR="00C41BE6" w14:paraId="42C99D61"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6BF35EC2" w14:textId="77777777" w:rsidR="00C41BE6" w:rsidRDefault="003568A7">
            <w:pPr>
              <w:jc w:val="center"/>
              <w:rPr>
                <w:rFonts w:ascii="Times New Roman" w:hAnsi="Times New Roman" w:cs="Times New Roman"/>
              </w:rPr>
            </w:pPr>
            <w:r>
              <w:rPr>
                <w:rFonts w:ascii="Times New Roman" w:hAnsi="Times New Roman" w:cs="Times New Roman"/>
              </w:rPr>
              <w:t>Maximum diameter focal lesion (cm)</w:t>
            </w:r>
          </w:p>
        </w:tc>
        <w:tc>
          <w:tcPr>
            <w:tcW w:w="656" w:type="pct"/>
            <w:vAlign w:val="center"/>
          </w:tcPr>
          <w:p w14:paraId="72872BC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-0.385*</w:t>
            </w:r>
          </w:p>
        </w:tc>
        <w:tc>
          <w:tcPr>
            <w:tcW w:w="739" w:type="pct"/>
            <w:vAlign w:val="center"/>
          </w:tcPr>
          <w:p w14:paraId="46A7D33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0.014*</w:t>
            </w:r>
          </w:p>
        </w:tc>
        <w:tc>
          <w:tcPr>
            <w:tcW w:w="658" w:type="pct"/>
            <w:vAlign w:val="center"/>
          </w:tcPr>
          <w:p w14:paraId="2F5E3E3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0.419*</w:t>
            </w:r>
          </w:p>
        </w:tc>
        <w:tc>
          <w:tcPr>
            <w:tcW w:w="731" w:type="pct"/>
            <w:vAlign w:val="center"/>
          </w:tcPr>
          <w:p w14:paraId="4D86ADE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0.007*</w:t>
            </w:r>
          </w:p>
        </w:tc>
      </w:tr>
      <w:tr w:rsidR="00C41BE6" w14:paraId="7C7C6D33"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4BA769C1" w14:textId="77777777" w:rsidR="00C41BE6" w:rsidRDefault="003568A7">
            <w:pPr>
              <w:jc w:val="center"/>
              <w:rPr>
                <w:rFonts w:ascii="Times New Roman" w:hAnsi="Times New Roman" w:cs="Times New Roman"/>
              </w:rPr>
            </w:pPr>
            <w:r>
              <w:rPr>
                <w:rFonts w:ascii="Times New Roman" w:hAnsi="Times New Roman" w:cs="Times New Roman"/>
              </w:rPr>
              <w:t>Portal vein diameter (mm)</w:t>
            </w:r>
          </w:p>
        </w:tc>
        <w:tc>
          <w:tcPr>
            <w:tcW w:w="656" w:type="pct"/>
            <w:vAlign w:val="center"/>
          </w:tcPr>
          <w:p w14:paraId="7090F0F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-0.126</w:t>
            </w:r>
          </w:p>
        </w:tc>
        <w:tc>
          <w:tcPr>
            <w:tcW w:w="739" w:type="pct"/>
            <w:vAlign w:val="center"/>
          </w:tcPr>
          <w:p w14:paraId="037859F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0.438</w:t>
            </w:r>
          </w:p>
        </w:tc>
        <w:tc>
          <w:tcPr>
            <w:tcW w:w="658" w:type="pct"/>
            <w:vAlign w:val="center"/>
          </w:tcPr>
          <w:p w14:paraId="3B2041D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0.167</w:t>
            </w:r>
          </w:p>
        </w:tc>
        <w:tc>
          <w:tcPr>
            <w:tcW w:w="731" w:type="pct"/>
            <w:vAlign w:val="center"/>
          </w:tcPr>
          <w:p w14:paraId="5F8B425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0.303</w:t>
            </w:r>
          </w:p>
        </w:tc>
      </w:tr>
      <w:tr w:rsidR="00C41BE6" w14:paraId="514BB4C8"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4C7631D1" w14:textId="77777777" w:rsidR="00C41BE6" w:rsidRDefault="003568A7">
            <w:pPr>
              <w:jc w:val="center"/>
              <w:rPr>
                <w:rFonts w:ascii="Times New Roman" w:hAnsi="Times New Roman" w:cs="Times New Roman"/>
              </w:rPr>
            </w:pPr>
            <w:r>
              <w:rPr>
                <w:rFonts w:ascii="Times New Roman" w:hAnsi="Times New Roman" w:cs="Times New Roman"/>
              </w:rPr>
              <w:t>Child score</w:t>
            </w:r>
          </w:p>
        </w:tc>
        <w:tc>
          <w:tcPr>
            <w:tcW w:w="656" w:type="pct"/>
            <w:vAlign w:val="center"/>
          </w:tcPr>
          <w:p w14:paraId="6D61F52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-0.121</w:t>
            </w:r>
          </w:p>
        </w:tc>
        <w:tc>
          <w:tcPr>
            <w:tcW w:w="739" w:type="pct"/>
            <w:vAlign w:val="center"/>
          </w:tcPr>
          <w:p w14:paraId="62074F1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0.457</w:t>
            </w:r>
          </w:p>
        </w:tc>
        <w:tc>
          <w:tcPr>
            <w:tcW w:w="658" w:type="pct"/>
            <w:vAlign w:val="center"/>
          </w:tcPr>
          <w:p w14:paraId="4D71B82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0.062</w:t>
            </w:r>
          </w:p>
        </w:tc>
        <w:tc>
          <w:tcPr>
            <w:tcW w:w="731" w:type="pct"/>
            <w:vAlign w:val="center"/>
          </w:tcPr>
          <w:p w14:paraId="1EB2ED7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0.702</w:t>
            </w:r>
          </w:p>
        </w:tc>
      </w:tr>
      <w:tr w:rsidR="00C41BE6" w14:paraId="606D7A87"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6063475A" w14:textId="77777777" w:rsidR="00C41BE6" w:rsidRDefault="003568A7">
            <w:pPr>
              <w:jc w:val="center"/>
              <w:rPr>
                <w:rFonts w:ascii="Times New Roman" w:hAnsi="Times New Roman" w:cs="Times New Roman"/>
              </w:rPr>
            </w:pPr>
            <w:r>
              <w:rPr>
                <w:rFonts w:ascii="Times New Roman" w:hAnsi="Times New Roman" w:cs="Times New Roman"/>
              </w:rPr>
              <w:t>MELD score</w:t>
            </w:r>
          </w:p>
        </w:tc>
        <w:tc>
          <w:tcPr>
            <w:tcW w:w="656" w:type="pct"/>
            <w:vAlign w:val="center"/>
          </w:tcPr>
          <w:p w14:paraId="5BB53AB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-0.219</w:t>
            </w:r>
          </w:p>
        </w:tc>
        <w:tc>
          <w:tcPr>
            <w:tcW w:w="739" w:type="pct"/>
            <w:vAlign w:val="center"/>
          </w:tcPr>
          <w:p w14:paraId="529A2AF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0.175</w:t>
            </w:r>
          </w:p>
        </w:tc>
        <w:tc>
          <w:tcPr>
            <w:tcW w:w="658" w:type="pct"/>
            <w:vAlign w:val="center"/>
          </w:tcPr>
          <w:p w14:paraId="7F7001B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0.058</w:t>
            </w:r>
          </w:p>
        </w:tc>
        <w:tc>
          <w:tcPr>
            <w:tcW w:w="731" w:type="pct"/>
            <w:vAlign w:val="center"/>
          </w:tcPr>
          <w:p w14:paraId="06FE2F6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0.723</w:t>
            </w:r>
          </w:p>
        </w:tc>
      </w:tr>
      <w:tr w:rsidR="00C41BE6" w14:paraId="3482C8F7"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63026D66" w14:textId="77777777" w:rsidR="00C41BE6" w:rsidRDefault="003568A7">
            <w:pPr>
              <w:jc w:val="center"/>
              <w:rPr>
                <w:rFonts w:ascii="Times New Roman" w:hAnsi="Times New Roman" w:cs="Times New Roman"/>
              </w:rPr>
            </w:pPr>
            <w:r>
              <w:rPr>
                <w:rFonts w:ascii="Times New Roman" w:hAnsi="Times New Roman" w:cs="Times New Roman"/>
              </w:rPr>
              <w:t>Barcelona staging</w:t>
            </w:r>
          </w:p>
        </w:tc>
        <w:tc>
          <w:tcPr>
            <w:tcW w:w="656" w:type="pct"/>
            <w:vAlign w:val="center"/>
          </w:tcPr>
          <w:p w14:paraId="6F2BD28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-0.088</w:t>
            </w:r>
          </w:p>
        </w:tc>
        <w:tc>
          <w:tcPr>
            <w:tcW w:w="739" w:type="pct"/>
            <w:vAlign w:val="center"/>
          </w:tcPr>
          <w:p w14:paraId="7F382AC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0.588</w:t>
            </w:r>
          </w:p>
        </w:tc>
        <w:tc>
          <w:tcPr>
            <w:tcW w:w="658" w:type="pct"/>
            <w:vAlign w:val="center"/>
          </w:tcPr>
          <w:p w14:paraId="28CF0FA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0.023</w:t>
            </w:r>
          </w:p>
        </w:tc>
        <w:tc>
          <w:tcPr>
            <w:tcW w:w="731" w:type="pct"/>
            <w:vAlign w:val="center"/>
          </w:tcPr>
          <w:p w14:paraId="2A986C6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0.888</w:t>
            </w:r>
          </w:p>
        </w:tc>
      </w:tr>
      <w:tr w:rsidR="00C41BE6" w14:paraId="4588678A"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vAlign w:val="center"/>
          </w:tcPr>
          <w:p w14:paraId="18646BA6" w14:textId="77777777" w:rsidR="00C41BE6" w:rsidRDefault="003568A7">
            <w:pPr>
              <w:jc w:val="center"/>
              <w:rPr>
                <w:rFonts w:ascii="Times New Roman" w:hAnsi="Times New Roman" w:cs="Times New Roman"/>
              </w:rPr>
            </w:pPr>
            <w:r>
              <w:rPr>
                <w:rFonts w:ascii="Times New Roman" w:hAnsi="Times New Roman" w:cs="Times New Roman"/>
              </w:rPr>
              <w:t>APAC score</w:t>
            </w:r>
          </w:p>
        </w:tc>
        <w:tc>
          <w:tcPr>
            <w:tcW w:w="656" w:type="pct"/>
            <w:vAlign w:val="center"/>
          </w:tcPr>
          <w:p w14:paraId="5F82707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-0.770*</w:t>
            </w:r>
          </w:p>
        </w:tc>
        <w:tc>
          <w:tcPr>
            <w:tcW w:w="739" w:type="pct"/>
            <w:vAlign w:val="center"/>
          </w:tcPr>
          <w:p w14:paraId="2A21185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c>
          <w:tcPr>
            <w:tcW w:w="658" w:type="pct"/>
            <w:vAlign w:val="center"/>
          </w:tcPr>
          <w:p w14:paraId="52AF814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p>
        </w:tc>
        <w:tc>
          <w:tcPr>
            <w:tcW w:w="731" w:type="pct"/>
            <w:vAlign w:val="center"/>
          </w:tcPr>
          <w:p w14:paraId="3200033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p>
        </w:tc>
      </w:tr>
      <w:tr w:rsidR="00C41BE6" w14:paraId="3BA06FAE" w14:textId="77777777" w:rsidTr="00C41BE6">
        <w:tc>
          <w:tcPr>
            <w:cnfStyle w:val="001000000000" w:firstRow="0" w:lastRow="0" w:firstColumn="1" w:lastColumn="0" w:oddVBand="0" w:evenVBand="0" w:oddHBand="0" w:evenHBand="0" w:firstRowFirstColumn="0" w:firstRowLastColumn="0" w:lastRowFirstColumn="0" w:lastRowLastColumn="0"/>
            <w:tcW w:w="2215" w:type="pct"/>
            <w:vAlign w:val="center"/>
          </w:tcPr>
          <w:p w14:paraId="1CF8FE10" w14:textId="77777777" w:rsidR="00C41BE6" w:rsidRDefault="003568A7">
            <w:pPr>
              <w:jc w:val="center"/>
              <w:rPr>
                <w:rFonts w:ascii="Times New Roman" w:hAnsi="Times New Roman" w:cs="Times New Roman"/>
              </w:rPr>
            </w:pPr>
            <w:r>
              <w:rPr>
                <w:rFonts w:ascii="Times New Roman" w:hAnsi="Times New Roman" w:cs="Times New Roman"/>
              </w:rPr>
              <w:t>PDGFR-β (Pg/ml)</w:t>
            </w:r>
          </w:p>
        </w:tc>
        <w:tc>
          <w:tcPr>
            <w:tcW w:w="656" w:type="pct"/>
            <w:vAlign w:val="center"/>
          </w:tcPr>
          <w:p w14:paraId="173778F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p>
        </w:tc>
        <w:tc>
          <w:tcPr>
            <w:tcW w:w="739" w:type="pct"/>
            <w:vAlign w:val="center"/>
          </w:tcPr>
          <w:p w14:paraId="46295F3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p>
        </w:tc>
        <w:tc>
          <w:tcPr>
            <w:tcW w:w="658" w:type="pct"/>
            <w:vAlign w:val="center"/>
          </w:tcPr>
          <w:p w14:paraId="3C35E07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-0.770*</w:t>
            </w:r>
          </w:p>
        </w:tc>
        <w:tc>
          <w:tcPr>
            <w:tcW w:w="731" w:type="pct"/>
            <w:vAlign w:val="center"/>
          </w:tcPr>
          <w:p w14:paraId="79F15D9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r>
    </w:tbl>
    <w:p w14:paraId="14E92993" w14:textId="77777777" w:rsidR="00C41BE6" w:rsidRDefault="003568A7" w:rsidP="001A1C67">
      <w:pPr>
        <w:spacing w:after="0" w:line="240" w:lineRule="auto"/>
        <w:jc w:val="both"/>
        <w:rPr>
          <w:rFonts w:ascii="Times New Roman" w:hAnsi="Times New Roman" w:cs="Times New Roman"/>
          <w:b/>
          <w:bCs/>
          <w:sz w:val="24"/>
          <w:szCs w:val="24"/>
          <w:highlight w:val="yellow"/>
        </w:rPr>
      </w:pPr>
      <w:r>
        <w:rPr>
          <w:rFonts w:ascii="Times New Roman" w:hAnsi="Times New Roman" w:cs="Times New Roman"/>
          <w:sz w:val="18"/>
          <w:szCs w:val="18"/>
          <w:lang w:eastAsia="zh-CN" w:bidi="ar-EG"/>
        </w:rPr>
        <w:t xml:space="preserve">SBP : systolic blood pressure; DBP : diastolic blood pressure; RR : respiratory rate, INR, international normalized ratio; ESR : erythrocytic sedimentation rate; AFP : alpha </w:t>
      </w:r>
      <w:proofErr w:type="spellStart"/>
      <w:r>
        <w:rPr>
          <w:rFonts w:ascii="Times New Roman" w:hAnsi="Times New Roman" w:cs="Times New Roman"/>
          <w:sz w:val="18"/>
          <w:szCs w:val="18"/>
          <w:lang w:eastAsia="zh-CN" w:bidi="ar-EG"/>
        </w:rPr>
        <w:t>feto</w:t>
      </w:r>
      <w:proofErr w:type="spellEnd"/>
      <w:r>
        <w:rPr>
          <w:rFonts w:ascii="Times New Roman" w:hAnsi="Times New Roman" w:cs="Times New Roman"/>
          <w:sz w:val="18"/>
          <w:szCs w:val="18"/>
          <w:lang w:eastAsia="zh-CN" w:bidi="ar-EG"/>
        </w:rPr>
        <w:t xml:space="preserve"> protein; MELD : model for end-stage liver disease; FBS : Fasting Blood Sugar; AST: aspartate aminotransferase; ALT : alanine aminotransferase; WBC : White blood cells; Hb : hemoglobin; rs: Spearman's rho correlation coefficient;  *: Significant when p value &lt;0.05, PDGFR-β: platelet deri</w:t>
      </w:r>
      <w:r w:rsidR="001A1C67">
        <w:rPr>
          <w:rFonts w:ascii="Times New Roman" w:hAnsi="Times New Roman" w:cs="Times New Roman"/>
          <w:sz w:val="18"/>
          <w:szCs w:val="18"/>
          <w:lang w:eastAsia="zh-CN" w:bidi="ar-EG"/>
        </w:rPr>
        <w:t>ved growth factor receptor beta</w:t>
      </w:r>
    </w:p>
    <w:p w14:paraId="4FECAB31" w14:textId="77777777" w:rsidR="00C41BE6" w:rsidRDefault="00D77AE1" w:rsidP="00D77AE1">
      <w:pPr>
        <w:rPr>
          <w:rFonts w:ascii="Times New Roman" w:eastAsia="Times New Roman" w:hAnsi="Times New Roman" w:cs="Times New Roman"/>
          <w:b/>
          <w:bCs/>
          <w:color w:val="000000"/>
          <w:sz w:val="24"/>
          <w:szCs w:val="36"/>
        </w:rPr>
      </w:pPr>
      <w:r>
        <w:lastRenderedPageBreak/>
        <w:t xml:space="preserve"> </w:t>
      </w:r>
    </w:p>
    <w:p w14:paraId="457058E2" w14:textId="77777777" w:rsidR="00C41BE6" w:rsidRDefault="003568A7">
      <w:pPr>
        <w:pStyle w:val="Caption"/>
        <w:spacing w:after="0"/>
        <w:jc w:val="both"/>
      </w:pPr>
      <w:r>
        <w:t xml:space="preserve">Table </w:t>
      </w:r>
      <w:r>
        <w:fldChar w:fldCharType="begin"/>
      </w:r>
      <w:r>
        <w:instrText xml:space="preserve"> SEQ Table \* ARABIC </w:instrText>
      </w:r>
      <w:r>
        <w:fldChar w:fldCharType="separate"/>
      </w:r>
      <w:r w:rsidR="00DA6F31">
        <w:rPr>
          <w:noProof/>
        </w:rPr>
        <w:t>5</w:t>
      </w:r>
      <w:r>
        <w:fldChar w:fldCharType="end"/>
      </w:r>
      <w:r>
        <w:t>: Validity of PDGFR-β and APAC for discrimination between cirrhotic patients with and without HCC</w:t>
      </w:r>
    </w:p>
    <w:tbl>
      <w:tblPr>
        <w:tblStyle w:val="GridTable6Colorful11"/>
        <w:tblW w:w="5817" w:type="pct"/>
        <w:jc w:val="center"/>
        <w:tblLayout w:type="fixed"/>
        <w:tblLook w:val="04A0" w:firstRow="1" w:lastRow="0" w:firstColumn="1" w:lastColumn="0" w:noHBand="0" w:noVBand="1"/>
      </w:tblPr>
      <w:tblGrid>
        <w:gridCol w:w="1273"/>
        <w:gridCol w:w="950"/>
        <w:gridCol w:w="1227"/>
        <w:gridCol w:w="1373"/>
        <w:gridCol w:w="709"/>
        <w:gridCol w:w="892"/>
        <w:gridCol w:w="1002"/>
        <w:gridCol w:w="847"/>
        <w:gridCol w:w="713"/>
        <w:gridCol w:w="1054"/>
      </w:tblGrid>
      <w:tr w:rsidR="00C41BE6" w14:paraId="30FE465F" w14:textId="77777777" w:rsidTr="00D77AE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4" w:type="pct"/>
            <w:vAlign w:val="center"/>
          </w:tcPr>
          <w:p w14:paraId="020EA707" w14:textId="77777777" w:rsidR="00C41BE6" w:rsidRDefault="00C41BE6">
            <w:pPr>
              <w:jc w:val="center"/>
              <w:rPr>
                <w:rFonts w:ascii="Times New Roman" w:hAnsi="Times New Roman" w:cs="Times New Roman"/>
              </w:rPr>
            </w:pPr>
          </w:p>
        </w:tc>
        <w:tc>
          <w:tcPr>
            <w:tcW w:w="473" w:type="pct"/>
            <w:vAlign w:val="center"/>
          </w:tcPr>
          <w:p w14:paraId="072A719E"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Cut off</w:t>
            </w:r>
          </w:p>
        </w:tc>
        <w:tc>
          <w:tcPr>
            <w:tcW w:w="611" w:type="pct"/>
            <w:vAlign w:val="center"/>
          </w:tcPr>
          <w:p w14:paraId="0255651D"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Sensitivity</w:t>
            </w:r>
            <w:r>
              <w:rPr>
                <w:rFonts w:ascii="Times New Roman" w:hAnsi="Times New Roman" w:cs="Times New Roman"/>
              </w:rPr>
              <w:br/>
              <w:t>(%)</w:t>
            </w:r>
          </w:p>
        </w:tc>
        <w:tc>
          <w:tcPr>
            <w:tcW w:w="684" w:type="pct"/>
            <w:vAlign w:val="center"/>
          </w:tcPr>
          <w:p w14:paraId="2114C22C"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Specificity</w:t>
            </w:r>
            <w:r>
              <w:rPr>
                <w:rFonts w:ascii="Times New Roman" w:hAnsi="Times New Roman" w:cs="Times New Roman"/>
              </w:rPr>
              <w:br/>
              <w:t>(%)</w:t>
            </w:r>
          </w:p>
        </w:tc>
        <w:tc>
          <w:tcPr>
            <w:tcW w:w="353" w:type="pct"/>
            <w:vAlign w:val="center"/>
          </w:tcPr>
          <w:p w14:paraId="3469E8DC"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PPV (%)</w:t>
            </w:r>
          </w:p>
        </w:tc>
        <w:tc>
          <w:tcPr>
            <w:tcW w:w="444" w:type="pct"/>
            <w:vAlign w:val="center"/>
          </w:tcPr>
          <w:p w14:paraId="5E16FF76"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NPV (%)</w:t>
            </w:r>
          </w:p>
        </w:tc>
        <w:tc>
          <w:tcPr>
            <w:tcW w:w="499" w:type="pct"/>
            <w:vAlign w:val="center"/>
          </w:tcPr>
          <w:p w14:paraId="33532CE8"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Accuracy (%)</w:t>
            </w:r>
          </w:p>
        </w:tc>
        <w:tc>
          <w:tcPr>
            <w:tcW w:w="422" w:type="pct"/>
            <w:vAlign w:val="center"/>
          </w:tcPr>
          <w:p w14:paraId="18EE8E5C"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 CI</w:t>
            </w:r>
          </w:p>
        </w:tc>
        <w:tc>
          <w:tcPr>
            <w:tcW w:w="355" w:type="pct"/>
            <w:vAlign w:val="center"/>
          </w:tcPr>
          <w:p w14:paraId="12D81D3E"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AUC</w:t>
            </w:r>
          </w:p>
        </w:tc>
        <w:tc>
          <w:tcPr>
            <w:tcW w:w="526" w:type="pct"/>
            <w:vAlign w:val="center"/>
          </w:tcPr>
          <w:p w14:paraId="07E68162"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Pr>
                <w:rFonts w:ascii="Times New Roman" w:hAnsi="Times New Roman" w:cs="Times New Roman"/>
              </w:rPr>
              <w:t>P</w:t>
            </w:r>
          </w:p>
        </w:tc>
      </w:tr>
      <w:tr w:rsidR="00C41BE6" w14:paraId="0D9BC0A3" w14:textId="77777777" w:rsidTr="00D77AE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4" w:type="pct"/>
            <w:vAlign w:val="center"/>
          </w:tcPr>
          <w:p w14:paraId="25DE8613" w14:textId="77777777" w:rsidR="00C41BE6" w:rsidRDefault="003568A7">
            <w:pPr>
              <w:jc w:val="center"/>
              <w:rPr>
                <w:rFonts w:ascii="Times New Roman" w:hAnsi="Times New Roman" w:cs="Times New Roman"/>
              </w:rPr>
            </w:pPr>
            <w:r>
              <w:rPr>
                <w:rFonts w:ascii="Times New Roman" w:hAnsi="Times New Roman" w:cs="Times New Roman"/>
              </w:rPr>
              <w:t>AFP (ng/ml)</w:t>
            </w:r>
          </w:p>
        </w:tc>
        <w:tc>
          <w:tcPr>
            <w:tcW w:w="473" w:type="pct"/>
            <w:vAlign w:val="center"/>
          </w:tcPr>
          <w:p w14:paraId="64CA5F6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&gt;22</w:t>
            </w:r>
          </w:p>
        </w:tc>
        <w:tc>
          <w:tcPr>
            <w:tcW w:w="611" w:type="pct"/>
            <w:vAlign w:val="center"/>
          </w:tcPr>
          <w:p w14:paraId="42BA6D0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w:t>
            </w:r>
          </w:p>
        </w:tc>
        <w:tc>
          <w:tcPr>
            <w:tcW w:w="684" w:type="pct"/>
            <w:vAlign w:val="center"/>
          </w:tcPr>
          <w:p w14:paraId="04F5560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82.5</w:t>
            </w:r>
          </w:p>
        </w:tc>
        <w:tc>
          <w:tcPr>
            <w:tcW w:w="353" w:type="pct"/>
            <w:vAlign w:val="center"/>
          </w:tcPr>
          <w:p w14:paraId="52F1EBA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82.1</w:t>
            </w:r>
          </w:p>
        </w:tc>
        <w:tc>
          <w:tcPr>
            <w:tcW w:w="444" w:type="pct"/>
            <w:vAlign w:val="center"/>
          </w:tcPr>
          <w:p w14:paraId="25EA972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80.5</w:t>
            </w:r>
          </w:p>
        </w:tc>
        <w:tc>
          <w:tcPr>
            <w:tcW w:w="499" w:type="pct"/>
            <w:vAlign w:val="center"/>
          </w:tcPr>
          <w:p w14:paraId="33B6589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81.3</w:t>
            </w:r>
          </w:p>
        </w:tc>
        <w:tc>
          <w:tcPr>
            <w:tcW w:w="422" w:type="pct"/>
            <w:vAlign w:val="center"/>
          </w:tcPr>
          <w:p w14:paraId="7571580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0.80 1-0.949</w:t>
            </w:r>
          </w:p>
        </w:tc>
        <w:tc>
          <w:tcPr>
            <w:tcW w:w="355" w:type="pct"/>
            <w:vAlign w:val="center"/>
          </w:tcPr>
          <w:p w14:paraId="184A9661"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0.891</w:t>
            </w:r>
          </w:p>
        </w:tc>
        <w:tc>
          <w:tcPr>
            <w:tcW w:w="526" w:type="pct"/>
            <w:vAlign w:val="center"/>
          </w:tcPr>
          <w:p w14:paraId="0077C3B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r>
      <w:tr w:rsidR="00C41BE6" w14:paraId="459DAA0D" w14:textId="77777777" w:rsidTr="00D77AE1">
        <w:trPr>
          <w:trHeight w:val="20"/>
          <w:jc w:val="center"/>
        </w:trPr>
        <w:tc>
          <w:tcPr>
            <w:cnfStyle w:val="001000000000" w:firstRow="0" w:lastRow="0" w:firstColumn="1" w:lastColumn="0" w:oddVBand="0" w:evenVBand="0" w:oddHBand="0" w:evenHBand="0" w:firstRowFirstColumn="0" w:firstRowLastColumn="0" w:lastRowFirstColumn="0" w:lastRowLastColumn="0"/>
            <w:tcW w:w="634" w:type="pct"/>
            <w:vAlign w:val="center"/>
          </w:tcPr>
          <w:p w14:paraId="2B39E471" w14:textId="77777777" w:rsidR="00C41BE6" w:rsidRDefault="003568A7">
            <w:pPr>
              <w:jc w:val="center"/>
              <w:rPr>
                <w:rFonts w:ascii="Times New Roman" w:hAnsi="Times New Roman" w:cs="Times New Roman"/>
              </w:rPr>
            </w:pPr>
            <w:r>
              <w:rPr>
                <w:rFonts w:ascii="Times New Roman" w:hAnsi="Times New Roman" w:cs="Times New Roman"/>
              </w:rPr>
              <w:t>PDGFR-β(pg/ ml)</w:t>
            </w:r>
          </w:p>
        </w:tc>
        <w:tc>
          <w:tcPr>
            <w:tcW w:w="473" w:type="pct"/>
            <w:vAlign w:val="center"/>
          </w:tcPr>
          <w:p w14:paraId="66FD7D0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≤789.7</w:t>
            </w:r>
          </w:p>
        </w:tc>
        <w:tc>
          <w:tcPr>
            <w:tcW w:w="611" w:type="pct"/>
            <w:vAlign w:val="center"/>
          </w:tcPr>
          <w:p w14:paraId="25B18F8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77.50</w:t>
            </w:r>
          </w:p>
        </w:tc>
        <w:tc>
          <w:tcPr>
            <w:tcW w:w="684" w:type="pct"/>
            <w:vAlign w:val="center"/>
          </w:tcPr>
          <w:p w14:paraId="27DC0F7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72.5</w:t>
            </w:r>
          </w:p>
        </w:tc>
        <w:tc>
          <w:tcPr>
            <w:tcW w:w="353" w:type="pct"/>
            <w:vAlign w:val="center"/>
          </w:tcPr>
          <w:p w14:paraId="40498DB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73.8</w:t>
            </w:r>
          </w:p>
        </w:tc>
        <w:tc>
          <w:tcPr>
            <w:tcW w:w="444" w:type="pct"/>
            <w:vAlign w:val="center"/>
          </w:tcPr>
          <w:p w14:paraId="60CE5E4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76.3</w:t>
            </w:r>
          </w:p>
        </w:tc>
        <w:tc>
          <w:tcPr>
            <w:tcW w:w="499" w:type="pct"/>
            <w:vAlign w:val="center"/>
          </w:tcPr>
          <w:p w14:paraId="6803977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75.0</w:t>
            </w:r>
          </w:p>
        </w:tc>
        <w:tc>
          <w:tcPr>
            <w:tcW w:w="422" w:type="pct"/>
            <w:vAlign w:val="center"/>
          </w:tcPr>
          <w:p w14:paraId="6CD7A47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0.743–0.919</w:t>
            </w:r>
          </w:p>
        </w:tc>
        <w:tc>
          <w:tcPr>
            <w:tcW w:w="355" w:type="pct"/>
            <w:vAlign w:val="center"/>
          </w:tcPr>
          <w:p w14:paraId="27CD9EC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0.831</w:t>
            </w:r>
          </w:p>
        </w:tc>
        <w:tc>
          <w:tcPr>
            <w:tcW w:w="526" w:type="pct"/>
            <w:vAlign w:val="center"/>
          </w:tcPr>
          <w:p w14:paraId="16513CF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r>
      <w:tr w:rsidR="00C41BE6" w14:paraId="328668AA" w14:textId="77777777" w:rsidTr="00D77AE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4" w:type="pct"/>
            <w:vAlign w:val="center"/>
          </w:tcPr>
          <w:p w14:paraId="4C917D07" w14:textId="77777777" w:rsidR="00C41BE6" w:rsidRDefault="003568A7">
            <w:pPr>
              <w:jc w:val="center"/>
              <w:rPr>
                <w:rFonts w:ascii="Times New Roman" w:hAnsi="Times New Roman" w:cs="Times New Roman"/>
              </w:rPr>
            </w:pPr>
            <w:r>
              <w:rPr>
                <w:rFonts w:ascii="Times New Roman" w:hAnsi="Times New Roman" w:cs="Times New Roman"/>
              </w:rPr>
              <w:t>APAC score</w:t>
            </w:r>
          </w:p>
        </w:tc>
        <w:tc>
          <w:tcPr>
            <w:tcW w:w="473" w:type="pct"/>
            <w:vAlign w:val="center"/>
          </w:tcPr>
          <w:p w14:paraId="04765A4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&gt;3.9</w:t>
            </w:r>
          </w:p>
        </w:tc>
        <w:tc>
          <w:tcPr>
            <w:tcW w:w="611" w:type="pct"/>
            <w:vAlign w:val="center"/>
          </w:tcPr>
          <w:p w14:paraId="4B71018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87.50</w:t>
            </w:r>
          </w:p>
        </w:tc>
        <w:tc>
          <w:tcPr>
            <w:tcW w:w="684" w:type="pct"/>
            <w:vAlign w:val="center"/>
          </w:tcPr>
          <w:p w14:paraId="495434F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85.0</w:t>
            </w:r>
          </w:p>
        </w:tc>
        <w:tc>
          <w:tcPr>
            <w:tcW w:w="353" w:type="pct"/>
            <w:vAlign w:val="center"/>
          </w:tcPr>
          <w:p w14:paraId="3E80C5E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85.37</w:t>
            </w:r>
          </w:p>
        </w:tc>
        <w:tc>
          <w:tcPr>
            <w:tcW w:w="444" w:type="pct"/>
            <w:vAlign w:val="center"/>
          </w:tcPr>
          <w:p w14:paraId="6D35883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87.18</w:t>
            </w:r>
          </w:p>
        </w:tc>
        <w:tc>
          <w:tcPr>
            <w:tcW w:w="499" w:type="pct"/>
            <w:vAlign w:val="center"/>
          </w:tcPr>
          <w:p w14:paraId="39B7502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86.25</w:t>
            </w:r>
          </w:p>
        </w:tc>
        <w:tc>
          <w:tcPr>
            <w:tcW w:w="422" w:type="pct"/>
            <w:vAlign w:val="center"/>
          </w:tcPr>
          <w:p w14:paraId="488B3F4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0.893–0.986</w:t>
            </w:r>
          </w:p>
        </w:tc>
        <w:tc>
          <w:tcPr>
            <w:tcW w:w="355" w:type="pct"/>
            <w:vAlign w:val="center"/>
          </w:tcPr>
          <w:p w14:paraId="2107C02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0.940</w:t>
            </w:r>
          </w:p>
        </w:tc>
        <w:tc>
          <w:tcPr>
            <w:tcW w:w="526" w:type="pct"/>
            <w:vAlign w:val="center"/>
          </w:tcPr>
          <w:p w14:paraId="4163F3A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r>
      <w:tr w:rsidR="00C41BE6" w14:paraId="3545AD0A" w14:textId="77777777" w:rsidTr="00D77AE1">
        <w:trPr>
          <w:trHeight w:val="20"/>
          <w:jc w:val="center"/>
        </w:trPr>
        <w:tc>
          <w:tcPr>
            <w:cnfStyle w:val="001000000000" w:firstRow="0" w:lastRow="0" w:firstColumn="1" w:lastColumn="0" w:oddVBand="0" w:evenVBand="0" w:oddHBand="0" w:evenHBand="0" w:firstRowFirstColumn="0" w:firstRowLastColumn="0" w:lastRowFirstColumn="0" w:lastRowLastColumn="0"/>
            <w:tcW w:w="634" w:type="pct"/>
            <w:vAlign w:val="center"/>
          </w:tcPr>
          <w:p w14:paraId="696A214A" w14:textId="77777777" w:rsidR="00C41BE6" w:rsidRDefault="003568A7">
            <w:pPr>
              <w:jc w:val="center"/>
              <w:rPr>
                <w:rFonts w:ascii="Times New Roman" w:hAnsi="Times New Roman" w:cs="Times New Roman"/>
              </w:rPr>
            </w:pPr>
            <w:r>
              <w:rPr>
                <w:rFonts w:ascii="Times New Roman" w:hAnsi="Times New Roman" w:cs="Times New Roman"/>
              </w:rPr>
              <w:t>AFP+PDGFR-β</w:t>
            </w:r>
          </w:p>
        </w:tc>
        <w:tc>
          <w:tcPr>
            <w:tcW w:w="473" w:type="pct"/>
            <w:vAlign w:val="center"/>
          </w:tcPr>
          <w:p w14:paraId="278C046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1" w:type="pct"/>
            <w:vAlign w:val="center"/>
          </w:tcPr>
          <w:p w14:paraId="41929CB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87.5</w:t>
            </w:r>
          </w:p>
        </w:tc>
        <w:tc>
          <w:tcPr>
            <w:tcW w:w="684" w:type="pct"/>
            <w:vAlign w:val="center"/>
          </w:tcPr>
          <w:p w14:paraId="30921D0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w:t>
            </w:r>
          </w:p>
        </w:tc>
        <w:tc>
          <w:tcPr>
            <w:tcW w:w="353" w:type="pct"/>
            <w:vAlign w:val="center"/>
          </w:tcPr>
          <w:p w14:paraId="706F55A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89.7</w:t>
            </w:r>
          </w:p>
        </w:tc>
        <w:tc>
          <w:tcPr>
            <w:tcW w:w="444" w:type="pct"/>
            <w:vAlign w:val="center"/>
          </w:tcPr>
          <w:p w14:paraId="7A35BA8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87.8</w:t>
            </w:r>
          </w:p>
        </w:tc>
        <w:tc>
          <w:tcPr>
            <w:tcW w:w="499" w:type="pct"/>
            <w:vAlign w:val="center"/>
          </w:tcPr>
          <w:p w14:paraId="7A42161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88.8</w:t>
            </w:r>
          </w:p>
        </w:tc>
        <w:tc>
          <w:tcPr>
            <w:tcW w:w="422" w:type="pct"/>
            <w:vAlign w:val="center"/>
          </w:tcPr>
          <w:p w14:paraId="5455BDE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0.872- 0.984</w:t>
            </w:r>
          </w:p>
        </w:tc>
        <w:tc>
          <w:tcPr>
            <w:tcW w:w="355" w:type="pct"/>
            <w:vAlign w:val="center"/>
          </w:tcPr>
          <w:p w14:paraId="7864240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0.946</w:t>
            </w:r>
          </w:p>
        </w:tc>
        <w:tc>
          <w:tcPr>
            <w:tcW w:w="526" w:type="pct"/>
            <w:vAlign w:val="center"/>
          </w:tcPr>
          <w:p w14:paraId="34C644AF"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r>
    </w:tbl>
    <w:p w14:paraId="4D0C2CB4" w14:textId="77777777" w:rsidR="00D77AE1" w:rsidRDefault="003568A7">
      <w:pPr>
        <w:pStyle w:val="F-note"/>
        <w:rPr>
          <w:sz w:val="18"/>
          <w:szCs w:val="18"/>
        </w:rPr>
      </w:pPr>
      <w:r>
        <w:rPr>
          <w:sz w:val="18"/>
          <w:szCs w:val="18"/>
        </w:rPr>
        <w:t xml:space="preserve">AFP : alpha </w:t>
      </w:r>
      <w:proofErr w:type="spellStart"/>
      <w:r>
        <w:rPr>
          <w:sz w:val="18"/>
          <w:szCs w:val="18"/>
        </w:rPr>
        <w:t>feto</w:t>
      </w:r>
      <w:proofErr w:type="spellEnd"/>
      <w:r>
        <w:rPr>
          <w:sz w:val="18"/>
          <w:szCs w:val="18"/>
        </w:rPr>
        <w:t xml:space="preserve"> protein; PDGFR-β: platelet derived growth factor receptor beta; AUC: Area under ROC curve; CI: Confidence interval; PPV :positive predictive value; NPV: negative predictive value ; *: P value Significant &lt;0.05.</w:t>
      </w:r>
    </w:p>
    <w:p w14:paraId="671BC796" w14:textId="77777777" w:rsidR="00D77AE1" w:rsidRDefault="00D77AE1">
      <w:pPr>
        <w:pStyle w:val="F-note"/>
        <w:rPr>
          <w:sz w:val="18"/>
          <w:szCs w:val="18"/>
        </w:rPr>
      </w:pPr>
    </w:p>
    <w:p w14:paraId="2FC4A94C" w14:textId="77777777" w:rsidR="00D77AE1" w:rsidRDefault="00D77AE1">
      <w:pPr>
        <w:pStyle w:val="F-note"/>
        <w:rPr>
          <w:sz w:val="18"/>
          <w:szCs w:val="18"/>
        </w:rPr>
      </w:pPr>
    </w:p>
    <w:p w14:paraId="269FA05A" w14:textId="77777777" w:rsidR="00D77AE1" w:rsidRDefault="00D77AE1">
      <w:pPr>
        <w:pStyle w:val="F-note"/>
        <w:rPr>
          <w:sz w:val="18"/>
          <w:szCs w:val="18"/>
        </w:rPr>
      </w:pPr>
    </w:p>
    <w:p w14:paraId="54D76B12" w14:textId="77777777" w:rsidR="00D77AE1" w:rsidRDefault="00D77AE1">
      <w:pPr>
        <w:pStyle w:val="F-note"/>
        <w:rPr>
          <w:sz w:val="18"/>
          <w:szCs w:val="18"/>
        </w:rPr>
      </w:pPr>
      <w:r>
        <w:rPr>
          <w:sz w:val="18"/>
          <w:szCs w:val="18"/>
        </w:rPr>
        <w:t xml:space="preserve"> </w:t>
      </w:r>
    </w:p>
    <w:p w14:paraId="67336B3A" w14:textId="77777777" w:rsidR="00D77AE1" w:rsidRDefault="00D77AE1">
      <w:pPr>
        <w:pStyle w:val="F-note"/>
        <w:rPr>
          <w:sz w:val="18"/>
          <w:szCs w:val="18"/>
        </w:rPr>
      </w:pPr>
    </w:p>
    <w:p w14:paraId="3AA57A2B" w14:textId="77777777" w:rsidR="00D77AE1" w:rsidRDefault="00D77AE1">
      <w:pPr>
        <w:pStyle w:val="F-note"/>
        <w:rPr>
          <w:sz w:val="18"/>
          <w:szCs w:val="18"/>
        </w:rPr>
      </w:pPr>
    </w:p>
    <w:p w14:paraId="794CA540" w14:textId="77777777" w:rsidR="00D77AE1" w:rsidRDefault="00D77AE1">
      <w:pPr>
        <w:pStyle w:val="F-note"/>
        <w:rPr>
          <w:sz w:val="18"/>
          <w:szCs w:val="18"/>
        </w:rPr>
      </w:pPr>
    </w:p>
    <w:p w14:paraId="0C6C7C18" w14:textId="77777777" w:rsidR="00C41BE6" w:rsidRDefault="00D77AE1" w:rsidP="00D77AE1">
      <w:pPr>
        <w:pStyle w:val="F-note"/>
        <w:rPr>
          <w:rFonts w:cs="Times New Roman"/>
          <w:b/>
          <w:bCs/>
          <w:color w:val="000000"/>
          <w:sz w:val="22"/>
          <w:szCs w:val="32"/>
          <w:lang w:val="en-GB"/>
        </w:rPr>
      </w:pPr>
      <w:r>
        <w:rPr>
          <w:sz w:val="18"/>
          <w:szCs w:val="18"/>
        </w:rPr>
        <w:t xml:space="preserve"> </w:t>
      </w:r>
    </w:p>
    <w:p w14:paraId="38E1514D" w14:textId="77777777" w:rsidR="00C41BE6" w:rsidRDefault="003568A7">
      <w:pPr>
        <w:pStyle w:val="Caption"/>
        <w:spacing w:after="0"/>
        <w:jc w:val="center"/>
      </w:pPr>
      <w:r>
        <w:rPr>
          <w:noProof/>
          <w:lang w:val="en-US"/>
        </w:rPr>
        <w:drawing>
          <wp:inline distT="0" distB="0" distL="0" distR="0" wp14:anchorId="146DF792" wp14:editId="59BF5C2D">
            <wp:extent cx="4211955" cy="3848100"/>
            <wp:effectExtent l="0" t="0" r="0" b="0"/>
            <wp:docPr id="102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
                    <pic:cNvPicPr/>
                  </pic:nvPicPr>
                  <pic:blipFill>
                    <a:blip r:embed="rId10" cstate="print"/>
                    <a:srcRect/>
                    <a:stretch/>
                  </pic:blipFill>
                  <pic:spPr>
                    <a:xfrm>
                      <a:off x="0" y="0"/>
                      <a:ext cx="4211955" cy="3848100"/>
                    </a:xfrm>
                    <a:prstGeom prst="rect">
                      <a:avLst/>
                    </a:prstGeom>
                  </pic:spPr>
                </pic:pic>
              </a:graphicData>
            </a:graphic>
          </wp:inline>
        </w:drawing>
      </w:r>
    </w:p>
    <w:p w14:paraId="36F8D3BC" w14:textId="77777777" w:rsidR="00C41BE6" w:rsidRDefault="003568A7" w:rsidP="00426EC3">
      <w:pPr>
        <w:pStyle w:val="Fig"/>
      </w:pPr>
      <w:r>
        <w:t xml:space="preserve">Figure </w:t>
      </w:r>
      <w:r w:rsidR="00426EC3">
        <w:t>3</w:t>
      </w:r>
      <w:r>
        <w:t>: ROC Curve  showing  AFP , APAC and PDGFR-β discrimination between cirrhotic patients with and without HCC</w:t>
      </w:r>
    </w:p>
    <w:p w14:paraId="02DFA832" w14:textId="77777777" w:rsidR="00C41BE6" w:rsidRDefault="003568A7">
      <w:pPr>
        <w:rPr>
          <w:rFonts w:ascii="Times New Roman" w:eastAsia="Times New Roman" w:hAnsi="Times New Roman" w:cs="Times New Roman"/>
          <w:b/>
          <w:bCs/>
          <w:color w:val="000000"/>
          <w:sz w:val="24"/>
          <w:szCs w:val="36"/>
          <w:lang w:val="en-GB"/>
        </w:rPr>
      </w:pPr>
      <w:r>
        <w:br w:type="page"/>
      </w:r>
    </w:p>
    <w:p w14:paraId="594431EC" w14:textId="77777777" w:rsidR="00C41BE6" w:rsidRDefault="003568A7">
      <w:pPr>
        <w:pStyle w:val="Caption"/>
        <w:spacing w:after="0"/>
        <w:jc w:val="both"/>
      </w:pPr>
      <w:r>
        <w:lastRenderedPageBreak/>
        <w:t xml:space="preserve">Table </w:t>
      </w:r>
      <w:r>
        <w:fldChar w:fldCharType="begin"/>
      </w:r>
      <w:r>
        <w:instrText xml:space="preserve"> SEQ Table \* ARABIC </w:instrText>
      </w:r>
      <w:r>
        <w:fldChar w:fldCharType="separate"/>
      </w:r>
      <w:r w:rsidR="00DA6F31">
        <w:rPr>
          <w:noProof/>
        </w:rPr>
        <w:t>6</w:t>
      </w:r>
      <w:r>
        <w:fldChar w:fldCharType="end"/>
      </w:r>
      <w:r>
        <w:t>: Logistic regression analysis for prediction of HCC susceptibility among cirrhotic patients</w:t>
      </w:r>
    </w:p>
    <w:tbl>
      <w:tblPr>
        <w:tblStyle w:val="GridTable6Colorful11"/>
        <w:tblW w:w="5000" w:type="pct"/>
        <w:tblLook w:val="04A0" w:firstRow="1" w:lastRow="0" w:firstColumn="1" w:lastColumn="0" w:noHBand="0" w:noVBand="1"/>
      </w:tblPr>
      <w:tblGrid>
        <w:gridCol w:w="2705"/>
        <w:gridCol w:w="713"/>
        <w:gridCol w:w="1329"/>
        <w:gridCol w:w="948"/>
        <w:gridCol w:w="713"/>
        <w:gridCol w:w="1400"/>
        <w:gridCol w:w="822"/>
      </w:tblGrid>
      <w:tr w:rsidR="00C41BE6" w14:paraId="6E72AF03" w14:textId="77777777" w:rsidTr="00C41B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Merge w:val="restart"/>
            <w:vAlign w:val="center"/>
          </w:tcPr>
          <w:p w14:paraId="283C0793" w14:textId="77777777" w:rsidR="00C41BE6" w:rsidRDefault="003568A7">
            <w:pPr>
              <w:jc w:val="center"/>
              <w:rPr>
                <w:rFonts w:ascii="Times New Roman" w:hAnsi="Times New Roman" w:cs="Times New Roman"/>
              </w:rPr>
            </w:pPr>
            <w:r>
              <w:rPr>
                <w:rFonts w:ascii="Times New Roman" w:hAnsi="Times New Roman" w:cs="Times New Roman"/>
              </w:rPr>
              <w:t>Variables</w:t>
            </w:r>
          </w:p>
        </w:tc>
        <w:tc>
          <w:tcPr>
            <w:tcW w:w="1732" w:type="pct"/>
            <w:gridSpan w:val="3"/>
            <w:vAlign w:val="center"/>
          </w:tcPr>
          <w:p w14:paraId="21FB5EE8"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Univariate</w:t>
            </w:r>
          </w:p>
        </w:tc>
        <w:tc>
          <w:tcPr>
            <w:tcW w:w="1700" w:type="pct"/>
            <w:gridSpan w:val="3"/>
            <w:vAlign w:val="center"/>
          </w:tcPr>
          <w:p w14:paraId="4374AF37" w14:textId="77777777" w:rsidR="00C41BE6" w:rsidRDefault="003568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Multivariate</w:t>
            </w:r>
          </w:p>
        </w:tc>
      </w:tr>
      <w:tr w:rsidR="00C41BE6" w14:paraId="431377AF"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Merge/>
            <w:vAlign w:val="center"/>
          </w:tcPr>
          <w:p w14:paraId="40B104B8" w14:textId="77777777" w:rsidR="00C41BE6" w:rsidRDefault="00C41BE6">
            <w:pPr>
              <w:jc w:val="center"/>
              <w:rPr>
                <w:rFonts w:ascii="Times New Roman" w:hAnsi="Times New Roman" w:cs="Times New Roman"/>
              </w:rPr>
            </w:pPr>
          </w:p>
        </w:tc>
        <w:tc>
          <w:tcPr>
            <w:tcW w:w="413" w:type="pct"/>
            <w:vAlign w:val="center"/>
          </w:tcPr>
          <w:p w14:paraId="620EDFC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OR</w:t>
            </w:r>
          </w:p>
        </w:tc>
        <w:tc>
          <w:tcPr>
            <w:tcW w:w="770" w:type="pct"/>
            <w:vAlign w:val="center"/>
          </w:tcPr>
          <w:p w14:paraId="6FABECC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95% C.I</w:t>
            </w:r>
          </w:p>
        </w:tc>
        <w:tc>
          <w:tcPr>
            <w:tcW w:w="549" w:type="pct"/>
            <w:vAlign w:val="center"/>
          </w:tcPr>
          <w:p w14:paraId="31A8329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w:t>
            </w:r>
          </w:p>
        </w:tc>
        <w:tc>
          <w:tcPr>
            <w:tcW w:w="413" w:type="pct"/>
            <w:vAlign w:val="center"/>
          </w:tcPr>
          <w:p w14:paraId="1CA994A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OR</w:t>
            </w:r>
          </w:p>
        </w:tc>
        <w:tc>
          <w:tcPr>
            <w:tcW w:w="811" w:type="pct"/>
            <w:vAlign w:val="center"/>
          </w:tcPr>
          <w:p w14:paraId="30B8EE0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95% C.I</w:t>
            </w:r>
          </w:p>
        </w:tc>
        <w:tc>
          <w:tcPr>
            <w:tcW w:w="476" w:type="pct"/>
            <w:vAlign w:val="center"/>
          </w:tcPr>
          <w:p w14:paraId="418FC20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w:t>
            </w:r>
          </w:p>
        </w:tc>
      </w:tr>
      <w:tr w:rsidR="00C41BE6" w14:paraId="6F7A3D2E"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5CE3590D" w14:textId="77777777" w:rsidR="00C41BE6" w:rsidRDefault="003568A7">
            <w:pPr>
              <w:jc w:val="center"/>
              <w:rPr>
                <w:rFonts w:ascii="Times New Roman" w:hAnsi="Times New Roman" w:cs="Times New Roman"/>
              </w:rPr>
            </w:pPr>
            <w:r>
              <w:rPr>
                <w:rFonts w:ascii="Times New Roman" w:hAnsi="Times New Roman" w:cs="Times New Roman"/>
              </w:rPr>
              <w:t>Gender (female vs male)</w:t>
            </w:r>
          </w:p>
        </w:tc>
        <w:tc>
          <w:tcPr>
            <w:tcW w:w="413" w:type="pct"/>
            <w:vAlign w:val="center"/>
          </w:tcPr>
          <w:p w14:paraId="18DC37D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1.000</w:t>
            </w:r>
          </w:p>
        </w:tc>
        <w:tc>
          <w:tcPr>
            <w:tcW w:w="770" w:type="pct"/>
            <w:vAlign w:val="center"/>
          </w:tcPr>
          <w:p w14:paraId="53561C9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0.576–1.737</w:t>
            </w:r>
          </w:p>
        </w:tc>
        <w:tc>
          <w:tcPr>
            <w:tcW w:w="549" w:type="pct"/>
            <w:vAlign w:val="center"/>
          </w:tcPr>
          <w:p w14:paraId="2993107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1.000</w:t>
            </w:r>
          </w:p>
        </w:tc>
        <w:tc>
          <w:tcPr>
            <w:tcW w:w="413" w:type="pct"/>
            <w:vAlign w:val="center"/>
          </w:tcPr>
          <w:p w14:paraId="09EB6FA3" w14:textId="77777777" w:rsidR="00C41BE6" w:rsidRDefault="00C41BE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11" w:type="pct"/>
            <w:vAlign w:val="center"/>
          </w:tcPr>
          <w:p w14:paraId="282681DB" w14:textId="77777777" w:rsidR="00C41BE6" w:rsidRDefault="00C41BE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76" w:type="pct"/>
            <w:vAlign w:val="center"/>
          </w:tcPr>
          <w:p w14:paraId="68506687" w14:textId="77777777" w:rsidR="00C41BE6" w:rsidRDefault="00C41BE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41BE6" w14:paraId="784F37BF"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Align w:val="center"/>
          </w:tcPr>
          <w:p w14:paraId="3F89FC61" w14:textId="77777777" w:rsidR="00C41BE6" w:rsidRDefault="003568A7">
            <w:pPr>
              <w:jc w:val="center"/>
              <w:rPr>
                <w:rFonts w:ascii="Times New Roman" w:hAnsi="Times New Roman" w:cs="Times New Roman"/>
              </w:rPr>
            </w:pPr>
            <w:r>
              <w:rPr>
                <w:rFonts w:ascii="Times New Roman" w:hAnsi="Times New Roman" w:cs="Times New Roman"/>
              </w:rPr>
              <w:t>Age (years)</w:t>
            </w:r>
          </w:p>
        </w:tc>
        <w:tc>
          <w:tcPr>
            <w:tcW w:w="413" w:type="pct"/>
            <w:vAlign w:val="center"/>
          </w:tcPr>
          <w:p w14:paraId="2BA3FA0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0.967</w:t>
            </w:r>
          </w:p>
        </w:tc>
        <w:tc>
          <w:tcPr>
            <w:tcW w:w="770" w:type="pct"/>
            <w:vAlign w:val="center"/>
          </w:tcPr>
          <w:p w14:paraId="4CBB510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0.936–0.998</w:t>
            </w:r>
          </w:p>
        </w:tc>
        <w:tc>
          <w:tcPr>
            <w:tcW w:w="549" w:type="pct"/>
            <w:vAlign w:val="center"/>
          </w:tcPr>
          <w:p w14:paraId="49216B9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0.038*</w:t>
            </w:r>
          </w:p>
        </w:tc>
        <w:tc>
          <w:tcPr>
            <w:tcW w:w="413" w:type="pct"/>
            <w:vAlign w:val="center"/>
          </w:tcPr>
          <w:p w14:paraId="222A449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0.910</w:t>
            </w:r>
          </w:p>
        </w:tc>
        <w:tc>
          <w:tcPr>
            <w:tcW w:w="811" w:type="pct"/>
            <w:vAlign w:val="center"/>
          </w:tcPr>
          <w:p w14:paraId="4A965DE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0.807-1.025</w:t>
            </w:r>
          </w:p>
        </w:tc>
        <w:tc>
          <w:tcPr>
            <w:tcW w:w="476" w:type="pct"/>
            <w:vAlign w:val="center"/>
          </w:tcPr>
          <w:p w14:paraId="059D22D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0.119</w:t>
            </w:r>
          </w:p>
        </w:tc>
      </w:tr>
      <w:tr w:rsidR="00C41BE6" w14:paraId="68C8D1E4"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121A94D3" w14:textId="77777777" w:rsidR="00C41BE6" w:rsidRDefault="003568A7">
            <w:pPr>
              <w:jc w:val="center"/>
              <w:rPr>
                <w:rFonts w:ascii="Times New Roman" w:hAnsi="Times New Roman" w:cs="Times New Roman"/>
              </w:rPr>
            </w:pPr>
            <w:r>
              <w:rPr>
                <w:rFonts w:ascii="Times New Roman" w:hAnsi="Times New Roman" w:cs="Times New Roman"/>
              </w:rPr>
              <w:t>DM</w:t>
            </w:r>
          </w:p>
        </w:tc>
        <w:tc>
          <w:tcPr>
            <w:tcW w:w="413" w:type="pct"/>
            <w:vAlign w:val="center"/>
          </w:tcPr>
          <w:p w14:paraId="20CC0EA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0.822</w:t>
            </w:r>
          </w:p>
        </w:tc>
        <w:tc>
          <w:tcPr>
            <w:tcW w:w="770" w:type="pct"/>
            <w:vAlign w:val="center"/>
          </w:tcPr>
          <w:p w14:paraId="4F5A4E9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0.412–1.637</w:t>
            </w:r>
          </w:p>
        </w:tc>
        <w:tc>
          <w:tcPr>
            <w:tcW w:w="549" w:type="pct"/>
            <w:vAlign w:val="center"/>
          </w:tcPr>
          <w:p w14:paraId="5685ECB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0.576</w:t>
            </w:r>
          </w:p>
        </w:tc>
        <w:tc>
          <w:tcPr>
            <w:tcW w:w="413" w:type="pct"/>
          </w:tcPr>
          <w:p w14:paraId="6AD71DF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59A585B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3E088AF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4474391E"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Align w:val="center"/>
          </w:tcPr>
          <w:p w14:paraId="7B290AB1" w14:textId="77777777" w:rsidR="00C41BE6" w:rsidRDefault="003568A7">
            <w:pPr>
              <w:jc w:val="center"/>
              <w:rPr>
                <w:rFonts w:ascii="Times New Roman" w:hAnsi="Times New Roman" w:cs="Times New Roman"/>
              </w:rPr>
            </w:pPr>
            <w:r>
              <w:rPr>
                <w:rFonts w:ascii="Times New Roman" w:hAnsi="Times New Roman" w:cs="Times New Roman"/>
              </w:rPr>
              <w:t>Hypertension</w:t>
            </w:r>
          </w:p>
        </w:tc>
        <w:tc>
          <w:tcPr>
            <w:tcW w:w="413" w:type="pct"/>
            <w:vAlign w:val="center"/>
          </w:tcPr>
          <w:p w14:paraId="708C139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1.142</w:t>
            </w:r>
          </w:p>
        </w:tc>
        <w:tc>
          <w:tcPr>
            <w:tcW w:w="770" w:type="pct"/>
            <w:vAlign w:val="center"/>
          </w:tcPr>
          <w:p w14:paraId="48D8B29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0.513–2.538</w:t>
            </w:r>
          </w:p>
        </w:tc>
        <w:tc>
          <w:tcPr>
            <w:tcW w:w="549" w:type="pct"/>
            <w:vAlign w:val="center"/>
          </w:tcPr>
          <w:p w14:paraId="3C492FB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0.745</w:t>
            </w:r>
          </w:p>
        </w:tc>
        <w:tc>
          <w:tcPr>
            <w:tcW w:w="413" w:type="pct"/>
          </w:tcPr>
          <w:p w14:paraId="5EB9456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04A8F8F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616395BC"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2B5F58EB"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39C01C59" w14:textId="77777777" w:rsidR="00C41BE6" w:rsidRDefault="003568A7">
            <w:pPr>
              <w:jc w:val="center"/>
              <w:rPr>
                <w:rFonts w:ascii="Times New Roman" w:hAnsi="Times New Roman" w:cs="Times New Roman"/>
              </w:rPr>
            </w:pPr>
            <w:r>
              <w:rPr>
                <w:rFonts w:ascii="Times New Roman" w:hAnsi="Times New Roman" w:cs="Times New Roman"/>
              </w:rPr>
              <w:t>Platelets (X10</w:t>
            </w:r>
            <w:r>
              <w:rPr>
                <w:rFonts w:ascii="Times New Roman" w:hAnsi="Times New Roman" w:cs="Times New Roman"/>
                <w:vertAlign w:val="superscript"/>
              </w:rPr>
              <w:t>9</w:t>
            </w:r>
            <w:r>
              <w:rPr>
                <w:rFonts w:ascii="Times New Roman" w:hAnsi="Times New Roman" w:cs="Times New Roman"/>
              </w:rPr>
              <w:t>/L)</w:t>
            </w:r>
          </w:p>
        </w:tc>
        <w:tc>
          <w:tcPr>
            <w:tcW w:w="413" w:type="pct"/>
            <w:vAlign w:val="center"/>
          </w:tcPr>
          <w:p w14:paraId="1A0C641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1.001</w:t>
            </w:r>
          </w:p>
        </w:tc>
        <w:tc>
          <w:tcPr>
            <w:tcW w:w="770" w:type="pct"/>
            <w:vAlign w:val="center"/>
          </w:tcPr>
          <w:p w14:paraId="686987F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0.994–1.007</w:t>
            </w:r>
          </w:p>
        </w:tc>
        <w:tc>
          <w:tcPr>
            <w:tcW w:w="549" w:type="pct"/>
            <w:vAlign w:val="center"/>
          </w:tcPr>
          <w:p w14:paraId="33913FD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0.806</w:t>
            </w:r>
          </w:p>
        </w:tc>
        <w:tc>
          <w:tcPr>
            <w:tcW w:w="413" w:type="pct"/>
          </w:tcPr>
          <w:p w14:paraId="664A9DF3"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579A6FB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5ABD4DD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3FED16EC"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Align w:val="center"/>
          </w:tcPr>
          <w:p w14:paraId="03E2EADE" w14:textId="77777777" w:rsidR="00C41BE6" w:rsidRDefault="003568A7">
            <w:pPr>
              <w:jc w:val="center"/>
              <w:rPr>
                <w:rFonts w:ascii="Times New Roman" w:hAnsi="Times New Roman" w:cs="Times New Roman"/>
              </w:rPr>
            </w:pPr>
            <w:r>
              <w:rPr>
                <w:rFonts w:ascii="Times New Roman" w:hAnsi="Times New Roman" w:cs="Times New Roman"/>
              </w:rPr>
              <w:t>Total bilirubin (mg/dL)</w:t>
            </w:r>
          </w:p>
        </w:tc>
        <w:tc>
          <w:tcPr>
            <w:tcW w:w="413" w:type="pct"/>
            <w:vAlign w:val="center"/>
          </w:tcPr>
          <w:p w14:paraId="335902A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0.809</w:t>
            </w:r>
          </w:p>
        </w:tc>
        <w:tc>
          <w:tcPr>
            <w:tcW w:w="770" w:type="pct"/>
            <w:vAlign w:val="center"/>
          </w:tcPr>
          <w:p w14:paraId="78C8208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0.550–1.188</w:t>
            </w:r>
          </w:p>
        </w:tc>
        <w:tc>
          <w:tcPr>
            <w:tcW w:w="549" w:type="pct"/>
            <w:vAlign w:val="center"/>
          </w:tcPr>
          <w:p w14:paraId="3095B78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0.279</w:t>
            </w:r>
          </w:p>
        </w:tc>
        <w:tc>
          <w:tcPr>
            <w:tcW w:w="413" w:type="pct"/>
          </w:tcPr>
          <w:p w14:paraId="7AAED56A"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203E2AC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0BFB3A0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486FA464"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05953E6B" w14:textId="77777777" w:rsidR="00C41BE6" w:rsidRDefault="003568A7">
            <w:pPr>
              <w:jc w:val="center"/>
              <w:rPr>
                <w:rFonts w:ascii="Times New Roman" w:hAnsi="Times New Roman" w:cs="Times New Roman"/>
              </w:rPr>
            </w:pPr>
            <w:r>
              <w:rPr>
                <w:rFonts w:ascii="Times New Roman" w:hAnsi="Times New Roman" w:cs="Times New Roman"/>
              </w:rPr>
              <w:t>Direct bilirubin (mg/dL)</w:t>
            </w:r>
          </w:p>
        </w:tc>
        <w:tc>
          <w:tcPr>
            <w:tcW w:w="413" w:type="pct"/>
            <w:vAlign w:val="center"/>
          </w:tcPr>
          <w:p w14:paraId="49884AD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0.725</w:t>
            </w:r>
          </w:p>
        </w:tc>
        <w:tc>
          <w:tcPr>
            <w:tcW w:w="770" w:type="pct"/>
            <w:vAlign w:val="center"/>
          </w:tcPr>
          <w:p w14:paraId="0CAAF36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0.410–1.281</w:t>
            </w:r>
          </w:p>
        </w:tc>
        <w:tc>
          <w:tcPr>
            <w:tcW w:w="549" w:type="pct"/>
            <w:vAlign w:val="center"/>
          </w:tcPr>
          <w:p w14:paraId="1548176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0.269</w:t>
            </w:r>
          </w:p>
        </w:tc>
        <w:tc>
          <w:tcPr>
            <w:tcW w:w="413" w:type="pct"/>
          </w:tcPr>
          <w:p w14:paraId="09B6764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37E3590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27DC45D4"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5146CE16"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Align w:val="center"/>
          </w:tcPr>
          <w:p w14:paraId="7E026A04" w14:textId="77777777" w:rsidR="00C41BE6" w:rsidRDefault="003568A7">
            <w:pPr>
              <w:jc w:val="center"/>
              <w:rPr>
                <w:rFonts w:ascii="Times New Roman" w:hAnsi="Times New Roman" w:cs="Times New Roman"/>
              </w:rPr>
            </w:pPr>
            <w:r>
              <w:rPr>
                <w:rFonts w:ascii="Times New Roman" w:hAnsi="Times New Roman" w:cs="Times New Roman"/>
              </w:rPr>
              <w:t>Albumin (g/dL)</w:t>
            </w:r>
          </w:p>
        </w:tc>
        <w:tc>
          <w:tcPr>
            <w:tcW w:w="413" w:type="pct"/>
            <w:vAlign w:val="center"/>
          </w:tcPr>
          <w:p w14:paraId="3DAA058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0.710</w:t>
            </w:r>
          </w:p>
        </w:tc>
        <w:tc>
          <w:tcPr>
            <w:tcW w:w="770" w:type="pct"/>
            <w:vAlign w:val="center"/>
          </w:tcPr>
          <w:p w14:paraId="3EA3D3D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0.332–1.515</w:t>
            </w:r>
          </w:p>
        </w:tc>
        <w:tc>
          <w:tcPr>
            <w:tcW w:w="549" w:type="pct"/>
            <w:vAlign w:val="center"/>
          </w:tcPr>
          <w:p w14:paraId="2E034609"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0.376</w:t>
            </w:r>
          </w:p>
        </w:tc>
        <w:tc>
          <w:tcPr>
            <w:tcW w:w="413" w:type="pct"/>
          </w:tcPr>
          <w:p w14:paraId="4EA29A11"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4EFD4D00"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667FD62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47427E77"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245D05E0" w14:textId="77777777" w:rsidR="00C41BE6" w:rsidRDefault="003568A7">
            <w:pPr>
              <w:jc w:val="center"/>
              <w:rPr>
                <w:rFonts w:ascii="Times New Roman" w:hAnsi="Times New Roman" w:cs="Times New Roman"/>
              </w:rPr>
            </w:pPr>
            <w:r>
              <w:rPr>
                <w:rFonts w:ascii="Times New Roman" w:hAnsi="Times New Roman" w:cs="Times New Roman"/>
              </w:rPr>
              <w:t>INR</w:t>
            </w:r>
          </w:p>
        </w:tc>
        <w:tc>
          <w:tcPr>
            <w:tcW w:w="413" w:type="pct"/>
            <w:vAlign w:val="center"/>
          </w:tcPr>
          <w:p w14:paraId="1FB71AB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1.669</w:t>
            </w:r>
          </w:p>
        </w:tc>
        <w:tc>
          <w:tcPr>
            <w:tcW w:w="770" w:type="pct"/>
            <w:vAlign w:val="center"/>
          </w:tcPr>
          <w:p w14:paraId="4E88F57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0.788–3.532</w:t>
            </w:r>
          </w:p>
        </w:tc>
        <w:tc>
          <w:tcPr>
            <w:tcW w:w="549" w:type="pct"/>
            <w:vAlign w:val="center"/>
          </w:tcPr>
          <w:p w14:paraId="773D89E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0.181</w:t>
            </w:r>
          </w:p>
        </w:tc>
        <w:tc>
          <w:tcPr>
            <w:tcW w:w="413" w:type="pct"/>
          </w:tcPr>
          <w:p w14:paraId="0EE1560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75AE8AB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440D249D"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41C62B6C"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Align w:val="center"/>
          </w:tcPr>
          <w:p w14:paraId="5CFA767E" w14:textId="77777777" w:rsidR="00C41BE6" w:rsidRDefault="003568A7">
            <w:pPr>
              <w:jc w:val="center"/>
              <w:rPr>
                <w:rFonts w:ascii="Times New Roman" w:hAnsi="Times New Roman" w:cs="Times New Roman"/>
              </w:rPr>
            </w:pPr>
            <w:r>
              <w:rPr>
                <w:rFonts w:ascii="Times New Roman" w:hAnsi="Times New Roman" w:cs="Times New Roman"/>
              </w:rPr>
              <w:t>Portal vein diameter (mm)</w:t>
            </w:r>
          </w:p>
        </w:tc>
        <w:tc>
          <w:tcPr>
            <w:tcW w:w="413" w:type="pct"/>
            <w:vAlign w:val="center"/>
          </w:tcPr>
          <w:p w14:paraId="0FA0A2C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1.104</w:t>
            </w:r>
          </w:p>
        </w:tc>
        <w:tc>
          <w:tcPr>
            <w:tcW w:w="770" w:type="pct"/>
            <w:vAlign w:val="center"/>
          </w:tcPr>
          <w:p w14:paraId="20909DE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0.937–1.301</w:t>
            </w:r>
          </w:p>
        </w:tc>
        <w:tc>
          <w:tcPr>
            <w:tcW w:w="549" w:type="pct"/>
            <w:vAlign w:val="center"/>
          </w:tcPr>
          <w:p w14:paraId="670788C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0.238</w:t>
            </w:r>
          </w:p>
        </w:tc>
        <w:tc>
          <w:tcPr>
            <w:tcW w:w="413" w:type="pct"/>
          </w:tcPr>
          <w:p w14:paraId="27181C6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630685E4"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0C4B59F1"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674E3845"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6A7CA2E7" w14:textId="77777777" w:rsidR="00C41BE6" w:rsidRDefault="003568A7">
            <w:pPr>
              <w:jc w:val="center"/>
              <w:rPr>
                <w:rFonts w:ascii="Times New Roman" w:hAnsi="Times New Roman" w:cs="Times New Roman"/>
              </w:rPr>
            </w:pPr>
            <w:r>
              <w:rPr>
                <w:rFonts w:ascii="Times New Roman" w:hAnsi="Times New Roman" w:cs="Times New Roman"/>
              </w:rPr>
              <w:t>Child score</w:t>
            </w:r>
          </w:p>
        </w:tc>
        <w:tc>
          <w:tcPr>
            <w:tcW w:w="413" w:type="pct"/>
            <w:vAlign w:val="center"/>
          </w:tcPr>
          <w:p w14:paraId="4A825B7F"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1.032</w:t>
            </w:r>
          </w:p>
        </w:tc>
        <w:tc>
          <w:tcPr>
            <w:tcW w:w="770" w:type="pct"/>
            <w:vAlign w:val="center"/>
          </w:tcPr>
          <w:p w14:paraId="05FD0057"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0.868–1.226</w:t>
            </w:r>
          </w:p>
        </w:tc>
        <w:tc>
          <w:tcPr>
            <w:tcW w:w="549" w:type="pct"/>
            <w:vAlign w:val="center"/>
          </w:tcPr>
          <w:p w14:paraId="5602BDF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0.725</w:t>
            </w:r>
          </w:p>
        </w:tc>
        <w:tc>
          <w:tcPr>
            <w:tcW w:w="413" w:type="pct"/>
          </w:tcPr>
          <w:p w14:paraId="423F1EC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0A8B7A0E"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23D61772"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4D6FDFD3"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Align w:val="center"/>
          </w:tcPr>
          <w:p w14:paraId="3ED19053" w14:textId="77777777" w:rsidR="00C41BE6" w:rsidRDefault="003568A7">
            <w:pPr>
              <w:jc w:val="center"/>
              <w:rPr>
                <w:rFonts w:ascii="Times New Roman" w:hAnsi="Times New Roman" w:cs="Times New Roman"/>
              </w:rPr>
            </w:pPr>
            <w:r>
              <w:rPr>
                <w:rFonts w:ascii="Times New Roman" w:hAnsi="Times New Roman" w:cs="Times New Roman"/>
              </w:rPr>
              <w:t>MELD score</w:t>
            </w:r>
          </w:p>
        </w:tc>
        <w:tc>
          <w:tcPr>
            <w:tcW w:w="413" w:type="pct"/>
            <w:vAlign w:val="center"/>
          </w:tcPr>
          <w:p w14:paraId="089A9127"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1.041</w:t>
            </w:r>
          </w:p>
        </w:tc>
        <w:tc>
          <w:tcPr>
            <w:tcW w:w="770" w:type="pct"/>
            <w:vAlign w:val="center"/>
          </w:tcPr>
          <w:p w14:paraId="2CBF463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0.959–1.130</w:t>
            </w:r>
          </w:p>
        </w:tc>
        <w:tc>
          <w:tcPr>
            <w:tcW w:w="549" w:type="pct"/>
            <w:vAlign w:val="center"/>
          </w:tcPr>
          <w:p w14:paraId="40F52C35"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0.334</w:t>
            </w:r>
          </w:p>
        </w:tc>
        <w:tc>
          <w:tcPr>
            <w:tcW w:w="413" w:type="pct"/>
          </w:tcPr>
          <w:p w14:paraId="18ADB5A3"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11" w:type="pct"/>
          </w:tcPr>
          <w:p w14:paraId="5B1DF38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476" w:type="pct"/>
          </w:tcPr>
          <w:p w14:paraId="27143632"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41BE6" w14:paraId="12F49EE6"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57EA7C50" w14:textId="77777777" w:rsidR="00C41BE6" w:rsidRDefault="003568A7">
            <w:pPr>
              <w:jc w:val="center"/>
              <w:rPr>
                <w:rFonts w:ascii="Times New Roman" w:hAnsi="Times New Roman" w:cs="Times New Roman"/>
              </w:rPr>
            </w:pPr>
            <w:r>
              <w:rPr>
                <w:rFonts w:ascii="Times New Roman" w:hAnsi="Times New Roman" w:cs="Times New Roman"/>
              </w:rPr>
              <w:t>AFP (ng/mL)</w:t>
            </w:r>
          </w:p>
        </w:tc>
        <w:tc>
          <w:tcPr>
            <w:tcW w:w="413" w:type="pct"/>
            <w:vAlign w:val="center"/>
          </w:tcPr>
          <w:p w14:paraId="59B00105"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1.018</w:t>
            </w:r>
          </w:p>
        </w:tc>
        <w:tc>
          <w:tcPr>
            <w:tcW w:w="770" w:type="pct"/>
            <w:vAlign w:val="center"/>
          </w:tcPr>
          <w:p w14:paraId="5024159A"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1.006-1.029</w:t>
            </w:r>
          </w:p>
        </w:tc>
        <w:tc>
          <w:tcPr>
            <w:tcW w:w="549" w:type="pct"/>
            <w:vAlign w:val="center"/>
          </w:tcPr>
          <w:p w14:paraId="135D874B"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0.003</w:t>
            </w:r>
            <w:r>
              <w:rPr>
                <w:rFonts w:ascii="Times New Roman" w:hAnsi="Times New Roman" w:cs="Times New Roman"/>
              </w:rPr>
              <w:t>*</w:t>
            </w:r>
          </w:p>
        </w:tc>
        <w:tc>
          <w:tcPr>
            <w:tcW w:w="413" w:type="pct"/>
            <w:vAlign w:val="center"/>
          </w:tcPr>
          <w:p w14:paraId="061C13A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1.017</w:t>
            </w:r>
          </w:p>
        </w:tc>
        <w:tc>
          <w:tcPr>
            <w:tcW w:w="811" w:type="pct"/>
            <w:vAlign w:val="center"/>
          </w:tcPr>
          <w:p w14:paraId="7E29B09F"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1.004-1.031</w:t>
            </w:r>
          </w:p>
        </w:tc>
        <w:tc>
          <w:tcPr>
            <w:tcW w:w="476" w:type="pct"/>
            <w:vAlign w:val="center"/>
          </w:tcPr>
          <w:p w14:paraId="2069B940"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0.013*</w:t>
            </w:r>
          </w:p>
        </w:tc>
      </w:tr>
      <w:tr w:rsidR="00C41BE6" w14:paraId="2DA5EC99" w14:textId="77777777" w:rsidTr="00C41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pct"/>
            <w:vAlign w:val="center"/>
          </w:tcPr>
          <w:p w14:paraId="4D809E71" w14:textId="77777777" w:rsidR="00C41BE6" w:rsidRDefault="003568A7">
            <w:pPr>
              <w:jc w:val="center"/>
              <w:rPr>
                <w:rFonts w:ascii="Times New Roman" w:hAnsi="Times New Roman" w:cs="Times New Roman"/>
              </w:rPr>
            </w:pPr>
            <w:r>
              <w:rPr>
                <w:rFonts w:ascii="Times New Roman" w:hAnsi="Times New Roman" w:cs="Times New Roman"/>
              </w:rPr>
              <w:t>PDGFR-β (pg/mL)</w:t>
            </w:r>
          </w:p>
        </w:tc>
        <w:tc>
          <w:tcPr>
            <w:tcW w:w="413" w:type="pct"/>
            <w:vAlign w:val="center"/>
          </w:tcPr>
          <w:p w14:paraId="5A4B3A6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0.998</w:t>
            </w:r>
          </w:p>
        </w:tc>
        <w:tc>
          <w:tcPr>
            <w:tcW w:w="770" w:type="pct"/>
            <w:vAlign w:val="center"/>
          </w:tcPr>
          <w:p w14:paraId="130D5E96"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0.997–0.999</w:t>
            </w:r>
          </w:p>
        </w:tc>
        <w:tc>
          <w:tcPr>
            <w:tcW w:w="549" w:type="pct"/>
            <w:vAlign w:val="center"/>
          </w:tcPr>
          <w:p w14:paraId="02F2650E"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c>
          <w:tcPr>
            <w:tcW w:w="413" w:type="pct"/>
            <w:vAlign w:val="center"/>
          </w:tcPr>
          <w:p w14:paraId="281B8548"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0.935</w:t>
            </w:r>
          </w:p>
        </w:tc>
        <w:tc>
          <w:tcPr>
            <w:tcW w:w="811" w:type="pct"/>
            <w:vAlign w:val="center"/>
          </w:tcPr>
          <w:p w14:paraId="42D4E1AB"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0.901-0.976</w:t>
            </w:r>
          </w:p>
        </w:tc>
        <w:tc>
          <w:tcPr>
            <w:tcW w:w="476" w:type="pct"/>
            <w:vAlign w:val="center"/>
          </w:tcPr>
          <w:p w14:paraId="7BE224AD" w14:textId="77777777" w:rsidR="00C41BE6" w:rsidRDefault="003568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0.042*</w:t>
            </w:r>
          </w:p>
        </w:tc>
      </w:tr>
      <w:tr w:rsidR="00C41BE6" w14:paraId="3FE7B0A4" w14:textId="77777777" w:rsidTr="00C41BE6">
        <w:tc>
          <w:tcPr>
            <w:cnfStyle w:val="001000000000" w:firstRow="0" w:lastRow="0" w:firstColumn="1" w:lastColumn="0" w:oddVBand="0" w:evenVBand="0" w:oddHBand="0" w:evenHBand="0" w:firstRowFirstColumn="0" w:firstRowLastColumn="0" w:lastRowFirstColumn="0" w:lastRowLastColumn="0"/>
            <w:tcW w:w="1567" w:type="pct"/>
            <w:vAlign w:val="center"/>
          </w:tcPr>
          <w:p w14:paraId="517264D9" w14:textId="77777777" w:rsidR="00C41BE6" w:rsidRDefault="003568A7">
            <w:pPr>
              <w:jc w:val="center"/>
              <w:rPr>
                <w:rFonts w:ascii="Times New Roman" w:hAnsi="Times New Roman" w:cs="Times New Roman"/>
              </w:rPr>
            </w:pPr>
            <w:r>
              <w:rPr>
                <w:rFonts w:ascii="Times New Roman" w:hAnsi="Times New Roman" w:cs="Times New Roman"/>
              </w:rPr>
              <w:t>APAC</w:t>
            </w:r>
          </w:p>
        </w:tc>
        <w:tc>
          <w:tcPr>
            <w:tcW w:w="413" w:type="pct"/>
            <w:vAlign w:val="center"/>
          </w:tcPr>
          <w:p w14:paraId="2C93CCAC"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2.107</w:t>
            </w:r>
          </w:p>
        </w:tc>
        <w:tc>
          <w:tcPr>
            <w:tcW w:w="770" w:type="pct"/>
            <w:vAlign w:val="center"/>
          </w:tcPr>
          <w:p w14:paraId="3D1FB548"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1.545–2.874</w:t>
            </w:r>
          </w:p>
        </w:tc>
        <w:tc>
          <w:tcPr>
            <w:tcW w:w="549" w:type="pct"/>
            <w:vAlign w:val="center"/>
          </w:tcPr>
          <w:p w14:paraId="047A59FC"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&lt;0.001*</w:t>
            </w:r>
          </w:p>
        </w:tc>
        <w:tc>
          <w:tcPr>
            <w:tcW w:w="413" w:type="pct"/>
            <w:vAlign w:val="center"/>
          </w:tcPr>
          <w:p w14:paraId="64DACF51"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5.753</w:t>
            </w:r>
          </w:p>
        </w:tc>
        <w:tc>
          <w:tcPr>
            <w:tcW w:w="811" w:type="pct"/>
            <w:vAlign w:val="center"/>
          </w:tcPr>
          <w:p w14:paraId="39504E29"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1.828-9.960</w:t>
            </w:r>
          </w:p>
        </w:tc>
        <w:tc>
          <w:tcPr>
            <w:tcW w:w="476" w:type="pct"/>
            <w:vAlign w:val="center"/>
          </w:tcPr>
          <w:p w14:paraId="58D35EC6" w14:textId="77777777" w:rsidR="00C41BE6" w:rsidRDefault="003568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0.037*</w:t>
            </w:r>
          </w:p>
        </w:tc>
      </w:tr>
    </w:tbl>
    <w:p w14:paraId="36704DD5" w14:textId="77777777" w:rsidR="00C41BE6" w:rsidRDefault="003568A7">
      <w:pPr>
        <w:pStyle w:val="F-note"/>
        <w:rPr>
          <w:rFonts w:eastAsia="Calibri"/>
          <w:sz w:val="18"/>
          <w:szCs w:val="18"/>
          <w:highlight w:val="yellow"/>
          <w:lang w:val="en-GB"/>
        </w:rPr>
      </w:pPr>
      <w:r>
        <w:rPr>
          <w:rFonts w:eastAsia="Calibri"/>
          <w:sz w:val="18"/>
          <w:szCs w:val="18"/>
          <w:lang w:val="en-GB"/>
        </w:rPr>
        <w:t xml:space="preserve">DM:  diabetes Mellitus; INR: international normalized ratio; MELD: model of end-stage liver disease; AFP: alpha </w:t>
      </w:r>
      <w:proofErr w:type="spellStart"/>
      <w:r>
        <w:rPr>
          <w:rFonts w:eastAsia="Calibri"/>
          <w:sz w:val="18"/>
          <w:szCs w:val="18"/>
          <w:lang w:val="en-GB"/>
        </w:rPr>
        <w:t>feto</w:t>
      </w:r>
      <w:proofErr w:type="spellEnd"/>
      <w:r>
        <w:rPr>
          <w:rFonts w:eastAsia="Calibri"/>
          <w:sz w:val="18"/>
          <w:szCs w:val="18"/>
          <w:lang w:val="en-GB"/>
        </w:rPr>
        <w:t xml:space="preserve"> protein; PDGFR-β: platelet derived growth factor receptor beta; OR: Odd Ratio; CI: confidence interval; *: Significant when p value &lt;0.05.</w:t>
      </w:r>
    </w:p>
    <w:p w14:paraId="0D66BE72" w14:textId="77777777" w:rsidR="00C41BE6" w:rsidRDefault="00C41BE6">
      <w:pPr>
        <w:rPr>
          <w:highlight w:val="yellow"/>
        </w:rPr>
      </w:pPr>
    </w:p>
    <w:sectPr w:rsidR="00C41BE6">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CF39" w14:textId="77777777" w:rsidR="00202274" w:rsidRDefault="00202274">
      <w:pPr>
        <w:spacing w:after="0" w:line="240" w:lineRule="auto"/>
      </w:pPr>
      <w:r>
        <w:separator/>
      </w:r>
    </w:p>
  </w:endnote>
  <w:endnote w:type="continuationSeparator" w:id="0">
    <w:p w14:paraId="09890E21" w14:textId="77777777" w:rsidR="00202274" w:rsidRDefault="0020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khbar MT">
    <w:altName w:val="Arial"/>
    <w:charset w:val="B2"/>
    <w:family w:val="auto"/>
    <w:pitch w:val="variable"/>
    <w:sig w:usb0="00002000"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8479" w14:textId="77777777" w:rsidR="00036266" w:rsidRDefault="00036266">
    <w:pPr>
      <w:pStyle w:val="Footer"/>
      <w:jc w:val="center"/>
    </w:pPr>
    <w:r>
      <w:fldChar w:fldCharType="begin"/>
    </w:r>
    <w:r>
      <w:instrText xml:space="preserve"> PAGE   \* MERGEFORMAT </w:instrText>
    </w:r>
    <w:r>
      <w:fldChar w:fldCharType="separate"/>
    </w:r>
    <w:r w:rsidR="002053F5">
      <w:rPr>
        <w:noProof/>
      </w:rPr>
      <w:t>18</w:t>
    </w:r>
    <w:r>
      <w:rPr>
        <w:noProof/>
      </w:rPr>
      <w:fldChar w:fldCharType="end"/>
    </w:r>
  </w:p>
  <w:p w14:paraId="37DAF604" w14:textId="77777777" w:rsidR="00036266" w:rsidRDefault="0003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ECF6" w14:textId="77777777" w:rsidR="00202274" w:rsidRDefault="00202274">
      <w:pPr>
        <w:spacing w:after="0" w:line="240" w:lineRule="auto"/>
      </w:pPr>
      <w:r>
        <w:separator/>
      </w:r>
    </w:p>
  </w:footnote>
  <w:footnote w:type="continuationSeparator" w:id="0">
    <w:p w14:paraId="33C7E01A" w14:textId="77777777" w:rsidR="00202274" w:rsidRDefault="00202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1B7CC634"/>
    <w:lvl w:ilvl="0" w:tplc="04090005">
      <w:start w:val="1"/>
      <w:numFmt w:val="bullet"/>
      <w:lvlText w:val=""/>
      <w:lvlJc w:val="left"/>
      <w:pPr>
        <w:tabs>
          <w:tab w:val="left" w:pos="360"/>
        </w:tabs>
        <w:ind w:left="360" w:hanging="360"/>
      </w:pPr>
      <w:rPr>
        <w:rFonts w:ascii="Wingdings" w:hAnsi="Wingdings" w:hint="default"/>
      </w:rPr>
    </w:lvl>
    <w:lvl w:ilvl="1" w:tplc="F5B82556">
      <w:start w:val="1"/>
      <w:numFmt w:val="decimal"/>
      <w:lvlText w:val="%2."/>
      <w:lvlJc w:val="left"/>
      <w:pPr>
        <w:tabs>
          <w:tab w:val="left" w:pos="360"/>
        </w:tabs>
        <w:ind w:left="360" w:hanging="360"/>
      </w:pPr>
      <w:rPr>
        <w:rFonts w:cs="Times New Roman"/>
        <w:b w:val="0"/>
        <w:bCs w:val="0"/>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2" w15:restartNumberingAfterBreak="0">
    <w:nsid w:val="000000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376F6CC"/>
    <w:lvl w:ilvl="0" w:tplc="04090001">
      <w:start w:val="1"/>
      <w:numFmt w:val="bullet"/>
      <w:lvlText w:val=""/>
      <w:lvlJc w:val="left"/>
      <w:pPr>
        <w:tabs>
          <w:tab w:val="left" w:pos="360"/>
        </w:tabs>
        <w:ind w:left="360" w:hanging="360"/>
      </w:pPr>
      <w:rPr>
        <w:rFonts w:ascii="Symbol" w:hAnsi="Symbol" w:hint="default"/>
      </w:rPr>
    </w:lvl>
    <w:lvl w:ilvl="1" w:tplc="F5B82556">
      <w:start w:val="1"/>
      <w:numFmt w:val="decimal"/>
      <w:lvlText w:val="%2."/>
      <w:lvlJc w:val="left"/>
      <w:pPr>
        <w:tabs>
          <w:tab w:val="left" w:pos="360"/>
        </w:tabs>
        <w:ind w:left="360" w:hanging="360"/>
      </w:pPr>
      <w:rPr>
        <w:rFonts w:cs="Times New Roman"/>
        <w:b w:val="0"/>
        <w:bCs w:val="0"/>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5" w15:restartNumberingAfterBreak="0">
    <w:nsid w:val="00000006"/>
    <w:multiLevelType w:val="hybridMultilevel"/>
    <w:tmpl w:val="59883F0E"/>
    <w:lvl w:ilvl="0" w:tplc="04090005">
      <w:start w:val="1"/>
      <w:numFmt w:val="bullet"/>
      <w:lvlText w:val=""/>
      <w:lvlJc w:val="left"/>
      <w:pPr>
        <w:tabs>
          <w:tab w:val="left" w:pos="360"/>
        </w:tabs>
        <w:ind w:left="360" w:hanging="360"/>
      </w:pPr>
      <w:rPr>
        <w:rFonts w:ascii="Wingdings" w:hAnsi="Wingdings" w:hint="default"/>
      </w:rPr>
    </w:lvl>
    <w:lvl w:ilvl="1" w:tplc="F5B82556">
      <w:start w:val="1"/>
      <w:numFmt w:val="decimal"/>
      <w:lvlText w:val="%2."/>
      <w:lvlJc w:val="left"/>
      <w:pPr>
        <w:tabs>
          <w:tab w:val="left" w:pos="360"/>
        </w:tabs>
        <w:ind w:left="360" w:hanging="360"/>
      </w:pPr>
      <w:rPr>
        <w:rFonts w:cs="Times New Roman"/>
        <w:b w:val="0"/>
        <w:bCs w:val="0"/>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6" w15:restartNumberingAfterBreak="0">
    <w:nsid w:val="00000007"/>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00000A"/>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41AB2"/>
    <w:multiLevelType w:val="hybridMultilevel"/>
    <w:tmpl w:val="486269EA"/>
    <w:lvl w:ilvl="0" w:tplc="1DFEE134">
      <w:start w:val="1"/>
      <w:numFmt w:val="decimal"/>
      <w:lvlText w:val="%1."/>
      <w:lvlJc w:val="left"/>
      <w:pPr>
        <w:ind w:left="810" w:hanging="360"/>
      </w:pPr>
      <w:rPr>
        <w:b/>
        <w:bCs/>
        <w:sz w:val="32"/>
        <w:szCs w:val="32"/>
      </w:rPr>
    </w:lvl>
    <w:lvl w:ilvl="1" w:tplc="BAB8A1A8">
      <w:start w:val="1"/>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3989134">
    <w:abstractNumId w:val="2"/>
  </w:num>
  <w:num w:numId="2" w16cid:durableId="7964094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555626">
    <w:abstractNumId w:val="6"/>
  </w:num>
  <w:num w:numId="4" w16cid:durableId="1194075347">
    <w:abstractNumId w:val="4"/>
  </w:num>
  <w:num w:numId="5" w16cid:durableId="508526490">
    <w:abstractNumId w:val="1"/>
  </w:num>
  <w:num w:numId="6" w16cid:durableId="994526509">
    <w:abstractNumId w:val="5"/>
  </w:num>
  <w:num w:numId="7" w16cid:durableId="1312715117">
    <w:abstractNumId w:val="7"/>
  </w:num>
  <w:num w:numId="8" w16cid:durableId="1424716681">
    <w:abstractNumId w:val="9"/>
  </w:num>
  <w:num w:numId="9" w16cid:durableId="299192446">
    <w:abstractNumId w:val="3"/>
  </w:num>
  <w:num w:numId="10" w16cid:durableId="81538560">
    <w:abstractNumId w:val="8"/>
  </w:num>
  <w:num w:numId="11" w16cid:durableId="146087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E6"/>
    <w:rsid w:val="000120A0"/>
    <w:rsid w:val="00036266"/>
    <w:rsid w:val="00041836"/>
    <w:rsid w:val="000549DB"/>
    <w:rsid w:val="0009775A"/>
    <w:rsid w:val="000B4045"/>
    <w:rsid w:val="000D3646"/>
    <w:rsid w:val="001161E5"/>
    <w:rsid w:val="001A1C67"/>
    <w:rsid w:val="001E7315"/>
    <w:rsid w:val="00202274"/>
    <w:rsid w:val="002053F5"/>
    <w:rsid w:val="00216F53"/>
    <w:rsid w:val="00225AB8"/>
    <w:rsid w:val="0028365D"/>
    <w:rsid w:val="00290D53"/>
    <w:rsid w:val="003568A7"/>
    <w:rsid w:val="00366A0B"/>
    <w:rsid w:val="003D1812"/>
    <w:rsid w:val="003F49E3"/>
    <w:rsid w:val="00426EC3"/>
    <w:rsid w:val="00452FDA"/>
    <w:rsid w:val="004B37AC"/>
    <w:rsid w:val="004C5F70"/>
    <w:rsid w:val="00517248"/>
    <w:rsid w:val="00526E77"/>
    <w:rsid w:val="005272CB"/>
    <w:rsid w:val="005558B7"/>
    <w:rsid w:val="005722CB"/>
    <w:rsid w:val="0057451C"/>
    <w:rsid w:val="005B1394"/>
    <w:rsid w:val="00600ECC"/>
    <w:rsid w:val="0063176A"/>
    <w:rsid w:val="006B04E5"/>
    <w:rsid w:val="006C71AA"/>
    <w:rsid w:val="006F5732"/>
    <w:rsid w:val="0073145E"/>
    <w:rsid w:val="00751207"/>
    <w:rsid w:val="00751757"/>
    <w:rsid w:val="007654FB"/>
    <w:rsid w:val="007D0E1B"/>
    <w:rsid w:val="00826CB7"/>
    <w:rsid w:val="008340EC"/>
    <w:rsid w:val="008F7EBA"/>
    <w:rsid w:val="00900E20"/>
    <w:rsid w:val="009D2261"/>
    <w:rsid w:val="009E5DF2"/>
    <w:rsid w:val="00A35507"/>
    <w:rsid w:val="00A41F6F"/>
    <w:rsid w:val="00A5113D"/>
    <w:rsid w:val="00A6354C"/>
    <w:rsid w:val="00B3158B"/>
    <w:rsid w:val="00B71844"/>
    <w:rsid w:val="00C20804"/>
    <w:rsid w:val="00C27732"/>
    <w:rsid w:val="00C41BE6"/>
    <w:rsid w:val="00C52817"/>
    <w:rsid w:val="00C67DFD"/>
    <w:rsid w:val="00C853E0"/>
    <w:rsid w:val="00C91966"/>
    <w:rsid w:val="00CD654F"/>
    <w:rsid w:val="00D14127"/>
    <w:rsid w:val="00D15009"/>
    <w:rsid w:val="00D77AE1"/>
    <w:rsid w:val="00D77E03"/>
    <w:rsid w:val="00D85AAD"/>
    <w:rsid w:val="00DA6F31"/>
    <w:rsid w:val="00DC679E"/>
    <w:rsid w:val="00DC6C60"/>
    <w:rsid w:val="00E758B5"/>
    <w:rsid w:val="00EC2897"/>
    <w:rsid w:val="00EC2D68"/>
    <w:rsid w:val="00F43CFF"/>
    <w:rsid w:val="00F65275"/>
    <w:rsid w:val="00F75C59"/>
    <w:rsid w:val="00FA4203"/>
    <w:rsid w:val="00FD23A0"/>
    <w:rsid w:val="00FE6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EAE4"/>
  <w15:docId w15:val="{F8C665B6-95E7-43A3-8AC0-540FE1CE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s="Times New Roman"/>
      <w:color w:val="1F4D78"/>
      <w:sz w:val="24"/>
      <w:szCs w:val="24"/>
    </w:rPr>
  </w:style>
  <w:style w:type="paragraph" w:styleId="Heading4">
    <w:name w:val="heading 4"/>
    <w:basedOn w:val="Normal"/>
    <w:next w:val="BodyText"/>
    <w:link w:val="Heading4Char"/>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pPr>
      <w:spacing w:before="240" w:after="0" w:line="240" w:lineRule="auto"/>
      <w:jc w:val="lowKashida"/>
    </w:pPr>
    <w:rPr>
      <w:rFonts w:ascii="Times New Roman" w:hAnsi="Times New Roman" w:cs="Times New Roman"/>
      <w:sz w:val="24"/>
      <w:szCs w:val="24"/>
    </w:rPr>
  </w:style>
  <w:style w:type="character" w:customStyle="1" w:styleId="PChar">
    <w:name w:val="P Char"/>
    <w:link w:val="P"/>
    <w:rPr>
      <w:rFonts w:ascii="Times New Roman" w:hAnsi="Times New Roman" w:cs="Times New Roman"/>
      <w:sz w:val="24"/>
      <w:szCs w:val="24"/>
    </w:rPr>
  </w:style>
  <w:style w:type="paragraph" w:styleId="Caption">
    <w:name w:val="caption"/>
    <w:basedOn w:val="Normal"/>
    <w:next w:val="Normal"/>
    <w:link w:val="CaptionChar"/>
    <w:uiPriority w:val="35"/>
    <w:qFormat/>
    <w:pPr>
      <w:keepNext/>
      <w:spacing w:after="200" w:line="240" w:lineRule="auto"/>
    </w:pPr>
    <w:rPr>
      <w:rFonts w:ascii="Times New Roman" w:eastAsia="Times New Roman" w:hAnsi="Times New Roman" w:cs="Times New Roman"/>
      <w:b/>
      <w:bCs/>
      <w:color w:val="000000"/>
      <w:sz w:val="24"/>
      <w:szCs w:val="36"/>
      <w:lang w:val="en-GB"/>
    </w:rPr>
  </w:style>
  <w:style w:type="character" w:customStyle="1" w:styleId="CaptionChar">
    <w:name w:val="Caption Char"/>
    <w:link w:val="Caption"/>
    <w:uiPriority w:val="35"/>
    <w:rPr>
      <w:rFonts w:ascii="Times New Roman" w:eastAsia="Times New Roman" w:hAnsi="Times New Roman" w:cs="Times New Roman"/>
      <w:b/>
      <w:bCs/>
      <w:color w:val="000000"/>
      <w:sz w:val="24"/>
      <w:szCs w:val="36"/>
      <w:lang w:val="en-GB"/>
    </w:rPr>
  </w:style>
  <w:style w:type="table" w:customStyle="1" w:styleId="TableGrid3">
    <w:name w:val="Table Grid3"/>
    <w:basedOn w:val="TableNormal"/>
    <w:next w:val="TableGrid"/>
    <w:uiPriority w:val="39"/>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Pr>
      <w:rFonts w:ascii="Times New Roman" w:eastAsia="Times New Roman" w:hAnsi="Times New Roman" w:cs="Akhbar MT"/>
      <w:sz w:val="20"/>
      <w:szCs w:val="20"/>
      <w:lang w:eastAsia="zh-CN"/>
    </w:rPr>
  </w:style>
  <w:style w:type="character" w:customStyle="1" w:styleId="FigChar">
    <w:name w:val="Fig Char"/>
    <w:link w:val="Fig"/>
    <w:rPr>
      <w:rFonts w:ascii="Times New Roman" w:hAnsi="Times New Roman" w:cs="Times New Roman"/>
      <w:b/>
      <w:bCs/>
      <w:sz w:val="24"/>
      <w:szCs w:val="24"/>
    </w:rPr>
  </w:style>
  <w:style w:type="paragraph" w:customStyle="1" w:styleId="Fig">
    <w:name w:val="Fig"/>
    <w:basedOn w:val="Normal"/>
    <w:link w:val="FigChar"/>
    <w:qFormat/>
    <w:pPr>
      <w:spacing w:after="0" w:line="240" w:lineRule="auto"/>
      <w:jc w:val="center"/>
    </w:pPr>
    <w:rPr>
      <w:rFonts w:ascii="Times New Roman" w:hAnsi="Times New Roman" w:cs="Times New Roman"/>
      <w:b/>
      <w:bCs/>
      <w:sz w:val="24"/>
      <w:szCs w:val="24"/>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Pr>
      <w:rFonts w:ascii="Times New Roman" w:hAnsi="Times New Roman" w:cs="Times New Roman"/>
      <w:b w:val="0"/>
      <w:bCs w:val="0"/>
      <w:noProof/>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pPr>
      <w:tabs>
        <w:tab w:val="center" w:pos="4320"/>
        <w:tab w:val="right" w:pos="864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320"/>
        <w:tab w:val="right" w:pos="8640"/>
      </w:tabs>
      <w:spacing w:after="0" w:line="240" w:lineRule="auto"/>
    </w:pPr>
  </w:style>
  <w:style w:type="character" w:customStyle="1" w:styleId="FooterChar">
    <w:name w:val="Footer Char"/>
    <w:basedOn w:val="DefaultParagraphFont"/>
    <w:link w:val="Footer"/>
    <w:uiPriority w:val="99"/>
  </w:style>
  <w:style w:type="paragraph" w:customStyle="1" w:styleId="H2">
    <w:name w:val="H2"/>
    <w:basedOn w:val="P"/>
    <w:link w:val="H2Char"/>
    <w:rPr>
      <w:b/>
      <w:bCs/>
    </w:rPr>
  </w:style>
  <w:style w:type="character" w:customStyle="1" w:styleId="H2Char">
    <w:name w:val="H2 Char"/>
    <w:basedOn w:val="PChar"/>
    <w:link w:val="H2"/>
    <w:rPr>
      <w:rFonts w:ascii="Times New Roman" w:hAnsi="Times New Roman" w:cs="Times New Roman"/>
      <w:b/>
      <w:bCs/>
      <w:sz w:val="24"/>
      <w:szCs w:val="24"/>
    </w:rPr>
  </w:style>
  <w:style w:type="paragraph" w:styleId="ListParagraph">
    <w:name w:val="List Paragraph"/>
    <w:basedOn w:val="Normal"/>
    <w:uiPriority w:val="34"/>
    <w:pPr>
      <w:ind w:left="720"/>
      <w:contextualSpacing/>
    </w:p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Heading4Char">
    <w:name w:val="Heading 4 Char"/>
    <w:basedOn w:val="DefaultParagraphFont"/>
    <w:link w:val="Heading4"/>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customStyle="1" w:styleId="H3">
    <w:name w:val="H3"/>
    <w:basedOn w:val="Heading3"/>
    <w:pPr>
      <w:keepLines w:val="0"/>
      <w:spacing w:before="0" w:after="120" w:line="360" w:lineRule="auto"/>
    </w:pPr>
    <w:rPr>
      <w:rFonts w:ascii="Arial Black" w:eastAsia="Times New Roman" w:hAnsi="Arial Black"/>
      <w:bCs/>
      <w:noProof/>
      <w:color w:val="auto"/>
      <w:sz w:val="36"/>
      <w:szCs w:val="32"/>
      <w:lang w:eastAsia="ar-SA"/>
    </w:rPr>
  </w:style>
  <w:style w:type="paragraph" w:customStyle="1" w:styleId="b">
    <w:name w:val="b"/>
    <w:basedOn w:val="Normal"/>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rPr>
      <w:rFonts w:ascii="Calibri Light" w:eastAsia="SimSun" w:hAnsi="Calibri Light" w:cs="Times New Roman"/>
      <w:color w:val="1F4D78"/>
      <w:sz w:val="24"/>
      <w:szCs w:val="24"/>
    </w:rPr>
  </w:style>
  <w:style w:type="character" w:customStyle="1" w:styleId="ref">
    <w:name w:val="ref"/>
    <w:rPr>
      <w:b/>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paragraph" w:customStyle="1" w:styleId="TableParagraph">
    <w:name w:val="Table Paragraph"/>
    <w:basedOn w:val="Normal"/>
    <w:uiPriority w:val="1"/>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rPr>
      <w:sz w:val="16"/>
      <w:szCs w:val="16"/>
    </w:rPr>
  </w:style>
  <w:style w:type="paragraph" w:styleId="NoSpacing">
    <w:name w:val="No Spacing"/>
    <w:basedOn w:val="Normal"/>
    <w:uiPriority w:val="1"/>
    <w:qFormat/>
    <w:pPr>
      <w:keepNext/>
      <w:spacing w:after="0" w:line="240" w:lineRule="auto"/>
      <w:jc w:val="both"/>
    </w:pPr>
    <w:rPr>
      <w:rFonts w:ascii="Times New Roman" w:hAnsi="Times New Roman" w:cs="Times New Roman"/>
      <w:b/>
      <w:bCs/>
      <w:sz w:val="24"/>
      <w:szCs w:val="24"/>
    </w:rPr>
  </w:style>
  <w:style w:type="paragraph" w:customStyle="1" w:styleId="footnote">
    <w:name w:val="footnote"/>
    <w:basedOn w:val="Normal"/>
    <w:link w:val="footnoteChar"/>
    <w:pPr>
      <w:spacing w:after="200" w:line="276" w:lineRule="auto"/>
    </w:pPr>
    <w:rPr>
      <w:rFonts w:ascii="Times New Roman" w:eastAsia="SimSun" w:hAnsi="Times New Roman" w:cs="Times New Roman"/>
      <w:sz w:val="24"/>
      <w:szCs w:val="24"/>
      <w:lang w:bidi="ar-EG"/>
    </w:rPr>
  </w:style>
  <w:style w:type="character" w:customStyle="1" w:styleId="footnoteChar">
    <w:name w:val="footnote Char"/>
    <w:basedOn w:val="DefaultParagraphFont"/>
    <w:link w:val="footnote"/>
    <w:rPr>
      <w:rFonts w:ascii="Times New Roman" w:eastAsia="SimSun" w:hAnsi="Times New Roman" w:cs="Times New Roman"/>
      <w:sz w:val="24"/>
      <w:szCs w:val="24"/>
      <w:lang w:bidi="ar-EG"/>
    </w:rPr>
  </w:style>
  <w:style w:type="paragraph" w:customStyle="1" w:styleId="paragraph">
    <w:name w:val="paragraph"/>
    <w:basedOn w:val="Normal"/>
    <w:link w:val="paragraphChar"/>
    <w:qFormat/>
    <w:pPr>
      <w:spacing w:before="200" w:after="200" w:line="360" w:lineRule="auto"/>
      <w:ind w:firstLine="720"/>
      <w:jc w:val="both"/>
    </w:pPr>
    <w:rPr>
      <w:rFonts w:ascii="Times New Roman" w:eastAsia="AdvOT678fd422" w:hAnsi="Times New Roman" w:cs="Times New Roman"/>
      <w:color w:val="000000"/>
      <w:sz w:val="28"/>
      <w:lang w:bidi="ar-EG"/>
    </w:rPr>
  </w:style>
  <w:style w:type="character" w:customStyle="1" w:styleId="paragraphChar">
    <w:name w:val="paragraph Char"/>
    <w:basedOn w:val="DefaultParagraphFont"/>
    <w:link w:val="paragraph"/>
    <w:rPr>
      <w:rFonts w:ascii="Times New Roman" w:eastAsia="AdvOT678fd422" w:hAnsi="Times New Roman" w:cs="Times New Roman"/>
      <w:color w:val="000000"/>
      <w:sz w:val="28"/>
      <w:lang w:bidi="ar-EG"/>
    </w:rPr>
  </w:style>
  <w:style w:type="paragraph" w:customStyle="1" w:styleId="FigCap">
    <w:name w:val="Fig Cap"/>
    <w:basedOn w:val="Normal"/>
    <w:link w:val="FigCapChar"/>
    <w:pPr>
      <w:spacing w:before="200" w:after="200" w:line="276" w:lineRule="auto"/>
      <w:jc w:val="center"/>
    </w:pPr>
    <w:rPr>
      <w:rFonts w:ascii="Times New Roman" w:eastAsia="SimSun" w:hAnsi="Times New Roman" w:cs="Times New Roman"/>
      <w:b/>
      <w:bCs/>
      <w:color w:val="000000"/>
      <w:sz w:val="28"/>
      <w:szCs w:val="28"/>
      <w:lang w:bidi="ar-EG"/>
    </w:rPr>
  </w:style>
  <w:style w:type="character" w:customStyle="1" w:styleId="FigCapChar">
    <w:name w:val="Fig Cap Char"/>
    <w:basedOn w:val="DefaultParagraphFont"/>
    <w:link w:val="FigCap"/>
    <w:rPr>
      <w:rFonts w:ascii="Times New Roman" w:eastAsia="SimSun" w:hAnsi="Times New Roman" w:cs="Times New Roman"/>
      <w:b/>
      <w:bCs/>
      <w:color w:val="000000"/>
      <w:sz w:val="28"/>
      <w:szCs w:val="28"/>
      <w:lang w:bidi="ar-EG"/>
    </w:rPr>
  </w:style>
  <w:style w:type="character" w:customStyle="1" w:styleId="Heading2Char">
    <w:name w:val="Heading 2 Char"/>
    <w:basedOn w:val="DefaultParagraphFont"/>
    <w:link w:val="Heading2"/>
    <w:uiPriority w:val="9"/>
    <w:rPr>
      <w:rFonts w:ascii="Calibri Light" w:eastAsia="SimSun" w:hAnsi="Calibri Light" w:cs="Times New Roman"/>
      <w:color w:val="2E74B5"/>
      <w:sz w:val="26"/>
      <w:szCs w:val="26"/>
    </w:rPr>
  </w:style>
  <w:style w:type="character" w:styleId="Emphasis">
    <w:name w:val="Emphasis"/>
    <w:basedOn w:val="DefaultParagraphFont"/>
    <w:uiPriority w:val="20"/>
    <w:rPr>
      <w:i/>
      <w:iCs/>
    </w:rPr>
  </w:style>
  <w:style w:type="table" w:customStyle="1" w:styleId="TableGrid7">
    <w:name w:val="Table Grid7"/>
    <w:basedOn w:val="TableNormal"/>
    <w:next w:val="TableGrid"/>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pPr>
      <w:spacing w:before="0" w:line="360" w:lineRule="auto"/>
      <w:jc w:val="both"/>
    </w:pPr>
    <w:rPr>
      <w:rFonts w:ascii="Times New Roman" w:hAnsi="Times New Roman"/>
      <w:b/>
      <w:bCs/>
      <w:color w:val="000000"/>
      <w:sz w:val="36"/>
      <w:szCs w:val="36"/>
      <w:lang w:bidi="en-US"/>
    </w:rPr>
  </w:style>
  <w:style w:type="character" w:customStyle="1" w:styleId="Header1Char">
    <w:name w:val="Header 1 Char"/>
    <w:basedOn w:val="Heading1Char"/>
    <w:link w:val="Header1"/>
    <w:rPr>
      <w:rFonts w:ascii="Times New Roman" w:eastAsia="SimSun" w:hAnsi="Times New Roman" w:cs="Times New Roman"/>
      <w:b/>
      <w:bCs/>
      <w:color w:val="000000"/>
      <w:sz w:val="36"/>
      <w:szCs w:val="36"/>
      <w:lang w:bidi="en-US"/>
    </w:rPr>
  </w:style>
  <w:style w:type="paragraph" w:customStyle="1" w:styleId="FigTanta">
    <w:name w:val="Fig _ Tanta"/>
    <w:basedOn w:val="Normal"/>
    <w:next w:val="Fig"/>
    <w:link w:val="FigTantaChar"/>
    <w:pPr>
      <w:spacing w:line="240" w:lineRule="auto"/>
      <w:jc w:val="center"/>
    </w:pPr>
    <w:rPr>
      <w:rFonts w:ascii="Times New Roman" w:hAnsi="Times New Roman" w:cs="Times New Roman"/>
      <w:b/>
      <w:color w:val="000000"/>
      <w:sz w:val="28"/>
      <w:szCs w:val="24"/>
      <w:lang w:bidi="ar-EG"/>
    </w:rPr>
  </w:style>
  <w:style w:type="character" w:customStyle="1" w:styleId="FigTantaChar">
    <w:name w:val="Fig _ Tanta Char"/>
    <w:basedOn w:val="DefaultParagraphFont"/>
    <w:link w:val="FigTanta"/>
    <w:rPr>
      <w:rFonts w:ascii="Times New Roman" w:eastAsia="Calibri" w:hAnsi="Times New Roman" w:cs="Times New Roman"/>
      <w:b/>
      <w:color w:val="000000"/>
      <w:sz w:val="28"/>
      <w:szCs w:val="24"/>
      <w:lang w:bidi="ar-EG"/>
    </w:rPr>
  </w:style>
  <w:style w:type="paragraph" w:customStyle="1" w:styleId="PP">
    <w:name w:val="P   P"/>
    <w:basedOn w:val="Normal"/>
    <w:link w:val="PPChar"/>
    <w:pPr>
      <w:spacing w:after="200" w:line="360" w:lineRule="auto"/>
      <w:ind w:firstLine="720"/>
    </w:pPr>
    <w:rPr>
      <w:rFonts w:ascii="Times New Roman" w:eastAsia="AdvOT678fd422" w:hAnsi="Times New Roman" w:cs="Times New Roman"/>
      <w:color w:val="000000"/>
      <w:sz w:val="28"/>
      <w:lang w:val="en-GB" w:eastAsia="en-GB" w:bidi="ar-EG"/>
    </w:rPr>
  </w:style>
  <w:style w:type="character" w:customStyle="1" w:styleId="PPChar">
    <w:name w:val="P   P Char"/>
    <w:basedOn w:val="DefaultParagraphFont"/>
    <w:link w:val="PP"/>
    <w:rPr>
      <w:rFonts w:ascii="Times New Roman" w:eastAsia="AdvOT678fd422" w:hAnsi="Times New Roman" w:cs="Times New Roman"/>
      <w:color w:val="000000"/>
      <w:sz w:val="28"/>
      <w:lang w:val="en-GB" w:eastAsia="en-GB" w:bidi="ar-EG"/>
    </w:rPr>
  </w:style>
  <w:style w:type="table" w:customStyle="1" w:styleId="GridTable6Colorful1">
    <w:name w:val="Grid Table 6 Colorful1"/>
    <w:basedOn w:val="TableNormal"/>
    <w:next w:val="GridTable6Colorful2"/>
    <w:uiPriority w:val="51"/>
    <w:pPr>
      <w:spacing w:after="0" w:line="240"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1">
    <w:name w:val="Grid Table 6 Colorful11"/>
    <w:basedOn w:val="TableNormal"/>
    <w:next w:val="TableNormal"/>
    <w:uiPriority w:val="51"/>
    <w:pPr>
      <w:spacing w:after="0" w:line="240"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D77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5A7EF98-C452-4781-BAF2-DAB5C48A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12026</Words>
  <Characters>68549</Characters>
  <Application>Microsoft Office Word</Application>
  <DocSecurity>0</DocSecurity>
  <Lines>571</Lines>
  <Paragraphs>160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ساره رشدى احمد احمد مرزوق</cp:lastModifiedBy>
  <cp:revision>4</cp:revision>
  <cp:lastPrinted>2025-07-23T08:28:00Z</cp:lastPrinted>
  <dcterms:created xsi:type="dcterms:W3CDTF">2025-08-14T14:47:00Z</dcterms:created>
  <dcterms:modified xsi:type="dcterms:W3CDTF">2025-08-16T07:43:00Z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